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6DE" w:rsidRDefault="00D00BC6" w:rsidP="005176DE">
      <w:pPr>
        <w:spacing w:line="240" w:lineRule="auto"/>
        <w:jc w:val="center"/>
        <w:rPr>
          <w:rFonts w:ascii="Comic Sans MS" w:hAnsi="Comic Sans MS" w:cs="Times New Roman"/>
          <w:b/>
          <w:color w:val="0000FF"/>
          <w:sz w:val="24"/>
        </w:rPr>
      </w:pPr>
      <w:r>
        <w:rPr>
          <w:rFonts w:ascii="Comic Sans MS" w:hAnsi="Comic Sans MS" w:cs="Times New Roman"/>
          <w:b/>
          <w:noProof/>
          <w:color w:val="0000FF"/>
          <w:sz w:val="24"/>
          <w:lang w:eastAsia="fr-FR"/>
        </w:rPr>
        <w:pict>
          <v:rect id="_x0000_s1033" style="position:absolute;left:0;text-align:left;margin-left:3.85pt;margin-top:60.9pt;width:445.6pt;height:53.7pt;z-index:251665408" filled="f" strokecolor="blue" strokeweight="1.5pt"/>
        </w:pict>
      </w:r>
      <w:r w:rsidR="005176DE" w:rsidRPr="005176DE">
        <w:rPr>
          <w:rFonts w:ascii="Comic Sans MS" w:hAnsi="Comic Sans MS" w:cs="Times New Roman"/>
          <w:b/>
          <w:noProof/>
          <w:color w:val="0000FF"/>
          <w:sz w:val="24"/>
          <w:lang w:eastAsia="fr-FR"/>
        </w:rPr>
        <w:drawing>
          <wp:inline distT="0" distB="0" distL="0" distR="0">
            <wp:extent cx="5759450" cy="688264"/>
            <wp:effectExtent l="0" t="0" r="0" b="0"/>
            <wp:docPr id="1"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9450" cy="688264"/>
                    </a:xfrm>
                    <a:prstGeom prst="rect">
                      <a:avLst/>
                    </a:prstGeom>
                    <a:noFill/>
                    <a:ln>
                      <a:noFill/>
                    </a:ln>
                  </pic:spPr>
                </pic:pic>
              </a:graphicData>
            </a:graphic>
          </wp:inline>
        </w:drawing>
      </w:r>
    </w:p>
    <w:p w:rsidR="00191114" w:rsidRPr="008D2520" w:rsidRDefault="00191114" w:rsidP="005A64AE">
      <w:pPr>
        <w:autoSpaceDE w:val="0"/>
        <w:autoSpaceDN w:val="0"/>
        <w:adjustRightInd w:val="0"/>
        <w:spacing w:after="0" w:line="480" w:lineRule="auto"/>
        <w:ind w:left="1985" w:right="-1" w:hanging="2127"/>
        <w:jc w:val="center"/>
        <w:rPr>
          <w:rFonts w:ascii="Times New Roman" w:hAnsi="Times New Roman" w:cs="Times New Roman"/>
          <w:b/>
          <w:color w:val="0070C0"/>
          <w:sz w:val="24"/>
          <w:szCs w:val="24"/>
        </w:rPr>
      </w:pPr>
      <w:r w:rsidRPr="008D2520">
        <w:rPr>
          <w:rFonts w:ascii="Times New Roman" w:hAnsi="Times New Roman" w:cs="Times New Roman"/>
          <w:b/>
          <w:color w:val="0070C0"/>
          <w:sz w:val="24"/>
          <w:szCs w:val="24"/>
        </w:rPr>
        <w:t>Cytoponctions thyroïdiennes diagnostiquées au Centre Hospitalier</w:t>
      </w:r>
    </w:p>
    <w:p w:rsidR="005176DE" w:rsidRPr="008D2520" w:rsidRDefault="00191114" w:rsidP="005A64AE">
      <w:pPr>
        <w:autoSpaceDE w:val="0"/>
        <w:autoSpaceDN w:val="0"/>
        <w:adjustRightInd w:val="0"/>
        <w:spacing w:after="0" w:line="480" w:lineRule="auto"/>
        <w:ind w:left="1985" w:right="-1" w:hanging="2127"/>
        <w:jc w:val="center"/>
        <w:rPr>
          <w:rFonts w:ascii="Times New Roman" w:hAnsi="Times New Roman" w:cs="Times New Roman"/>
          <w:b/>
          <w:color w:val="0070C0"/>
          <w:sz w:val="24"/>
          <w:szCs w:val="24"/>
        </w:rPr>
      </w:pPr>
      <w:r w:rsidRPr="008D2520">
        <w:rPr>
          <w:rFonts w:ascii="Times New Roman" w:hAnsi="Times New Roman" w:cs="Times New Roman"/>
          <w:b/>
          <w:color w:val="0070C0"/>
          <w:sz w:val="24"/>
          <w:szCs w:val="24"/>
        </w:rPr>
        <w:t>Universitaire Joseph Ravoahangy Andrianavalona</w:t>
      </w:r>
      <w:r w:rsidR="005176DE" w:rsidRPr="008D2520">
        <w:rPr>
          <w:rFonts w:ascii="Times New Roman" w:hAnsi="Times New Roman" w:cs="Times New Roman"/>
          <w:b/>
          <w:color w:val="0070C0"/>
          <w:sz w:val="24"/>
        </w:rPr>
        <w:t>.</w:t>
      </w:r>
    </w:p>
    <w:p w:rsidR="005176DE" w:rsidRPr="00434AD1" w:rsidRDefault="005176DE" w:rsidP="005176DE">
      <w:pPr>
        <w:spacing w:line="240" w:lineRule="auto"/>
        <w:jc w:val="both"/>
        <w:rPr>
          <w:rFonts w:ascii="Times New Roman" w:hAnsi="Times New Roman" w:cs="Times New Roman"/>
          <w:color w:val="0000FF"/>
          <w:sz w:val="24"/>
          <w:lang w:val="en-US"/>
        </w:rPr>
      </w:pPr>
    </w:p>
    <w:p w:rsidR="005176DE" w:rsidRPr="008D2520" w:rsidRDefault="00191114" w:rsidP="005176DE">
      <w:pPr>
        <w:spacing w:line="240" w:lineRule="auto"/>
        <w:jc w:val="center"/>
        <w:rPr>
          <w:rFonts w:ascii="Times New Roman" w:hAnsi="Times New Roman" w:cs="Times New Roman"/>
          <w:b/>
          <w:color w:val="0070C0"/>
          <w:sz w:val="24"/>
          <w:lang w:val="en-US"/>
        </w:rPr>
      </w:pPr>
      <w:r w:rsidRPr="008D2520">
        <w:rPr>
          <w:rFonts w:ascii="Times New Roman" w:hAnsi="Times New Roman" w:cs="Times New Roman"/>
          <w:b/>
          <w:color w:val="0070C0"/>
          <w:sz w:val="24"/>
          <w:szCs w:val="24"/>
        </w:rPr>
        <w:t>Ranaivoson H.V.R</w:t>
      </w:r>
      <w:r w:rsidR="005176DE" w:rsidRPr="008D2520">
        <w:rPr>
          <w:rFonts w:ascii="Times New Roman" w:hAnsi="Times New Roman" w:cs="Times New Roman"/>
          <w:b/>
          <w:color w:val="0070C0"/>
          <w:sz w:val="24"/>
          <w:lang w:val="en-US"/>
        </w:rPr>
        <w:t xml:space="preserve">, </w:t>
      </w:r>
      <w:r w:rsidRPr="008D2520">
        <w:rPr>
          <w:rFonts w:ascii="Times New Roman" w:hAnsi="Times New Roman" w:cs="Times New Roman"/>
          <w:b/>
          <w:color w:val="0070C0"/>
          <w:sz w:val="24"/>
          <w:szCs w:val="24"/>
        </w:rPr>
        <w:t>Andrianjafitrimo H.T</w:t>
      </w:r>
      <w:r w:rsidR="005176DE" w:rsidRPr="008D2520">
        <w:rPr>
          <w:rFonts w:ascii="Times New Roman" w:hAnsi="Times New Roman" w:cs="Times New Roman"/>
          <w:b/>
          <w:color w:val="0070C0"/>
          <w:sz w:val="24"/>
          <w:lang w:val="en-US"/>
        </w:rPr>
        <w:t xml:space="preserve">, </w:t>
      </w:r>
      <w:r w:rsidRPr="008D2520">
        <w:rPr>
          <w:rFonts w:ascii="Times New Roman" w:hAnsi="Times New Roman" w:cs="Times New Roman"/>
          <w:b/>
          <w:color w:val="0070C0"/>
          <w:sz w:val="24"/>
          <w:szCs w:val="24"/>
        </w:rPr>
        <w:t>Ranaivomanana V.F</w:t>
      </w:r>
      <w:r w:rsidRPr="008D2520">
        <w:rPr>
          <w:rFonts w:ascii="Times New Roman" w:hAnsi="Times New Roman" w:cs="Times New Roman"/>
          <w:b/>
          <w:color w:val="0070C0"/>
          <w:sz w:val="24"/>
          <w:lang w:val="en-US"/>
        </w:rPr>
        <w:t>,</w:t>
      </w:r>
    </w:p>
    <w:p w:rsidR="00316FD4" w:rsidRPr="00410B10" w:rsidRDefault="00191114" w:rsidP="00410B10">
      <w:pPr>
        <w:spacing w:line="240" w:lineRule="auto"/>
        <w:jc w:val="center"/>
        <w:rPr>
          <w:rFonts w:ascii="Times New Roman" w:hAnsi="Times New Roman" w:cs="Times New Roman"/>
          <w:b/>
          <w:color w:val="0070C0"/>
          <w:sz w:val="24"/>
          <w:lang w:val="en-US"/>
        </w:rPr>
      </w:pPr>
      <w:r w:rsidRPr="008D2520">
        <w:rPr>
          <w:rFonts w:ascii="Times New Roman" w:hAnsi="Times New Roman" w:cs="Times New Roman"/>
          <w:b/>
          <w:color w:val="0070C0"/>
          <w:sz w:val="24"/>
          <w:szCs w:val="24"/>
        </w:rPr>
        <w:t>Randrianjafisamindrakotroka N.S</w:t>
      </w:r>
      <w:r w:rsidR="005176DE" w:rsidRPr="008D2520">
        <w:rPr>
          <w:rFonts w:ascii="Times New Roman" w:hAnsi="Times New Roman" w:cs="Times New Roman"/>
          <w:b/>
          <w:color w:val="0070C0"/>
          <w:sz w:val="24"/>
          <w:lang w:val="en-US"/>
        </w:rPr>
        <w:t>.</w:t>
      </w:r>
      <w:bookmarkStart w:id="0" w:name="_GoBack"/>
      <w:bookmarkEnd w:id="0"/>
    </w:p>
    <w:p w:rsidR="00685DE2" w:rsidRPr="007108E8" w:rsidRDefault="00D00BC6" w:rsidP="007108E8">
      <w:pPr>
        <w:spacing w:line="240" w:lineRule="auto"/>
        <w:jc w:val="both"/>
        <w:rPr>
          <w:rFonts w:ascii="Times New Roman" w:hAnsi="Times New Roman" w:cs="Times New Roman"/>
          <w:b/>
          <w:color w:val="0000FF"/>
          <w:sz w:val="24"/>
        </w:rPr>
      </w:pPr>
      <w:r>
        <w:rPr>
          <w:rFonts w:ascii="Times New Roman" w:hAnsi="Times New Roman" w:cs="Times New Roman"/>
          <w:b/>
          <w:noProof/>
          <w:color w:val="0000FF"/>
          <w:sz w:val="24"/>
        </w:rPr>
        <w:pict>
          <v:shapetype id="_x0000_t32" coordsize="21600,21600" o:spt="32" o:oned="t" path="m,l21600,21600e" filled="f">
            <v:path arrowok="t" fillok="f" o:connecttype="none"/>
            <o:lock v:ext="edit" shapetype="t"/>
          </v:shapetype>
          <v:shape id="_x0000_s1035" type="#_x0000_t32" style="position:absolute;left:0;text-align:left;margin-left:69.55pt;margin-top:8.4pt;width:387pt;height:0;z-index:251666432" o:connectortype="straight" strokecolor="blue" strokeweight="1.5pt"/>
        </w:pict>
      </w:r>
      <w:r w:rsidR="00685DE2" w:rsidRPr="007108E8">
        <w:rPr>
          <w:rFonts w:ascii="Times New Roman" w:hAnsi="Times New Roman" w:cs="Times New Roman"/>
          <w:b/>
          <w:color w:val="0000FF"/>
          <w:sz w:val="24"/>
        </w:rPr>
        <w:t xml:space="preserve">Introduction </w:t>
      </w:r>
    </w:p>
    <w:p w:rsidR="00191114" w:rsidRPr="00833EFF" w:rsidRDefault="00191114" w:rsidP="00191114">
      <w:pPr>
        <w:spacing w:line="240" w:lineRule="auto"/>
        <w:ind w:firstLine="708"/>
        <w:jc w:val="both"/>
        <w:rPr>
          <w:rFonts w:ascii="Times New Roman" w:hAnsi="Times New Roman" w:cs="Times New Roman"/>
          <w:sz w:val="24"/>
          <w:szCs w:val="24"/>
        </w:rPr>
      </w:pPr>
      <w:r w:rsidRPr="00833EFF">
        <w:rPr>
          <w:rFonts w:ascii="Times New Roman" w:hAnsi="Times New Roman" w:cs="Times New Roman"/>
          <w:sz w:val="24"/>
          <w:szCs w:val="24"/>
        </w:rPr>
        <w:t xml:space="preserve">Le nodule thyroïdien est défini comme une hypertrophie localisée de la glande thyroïde, qu’il soit palpable et ou bien identifié à l’échographie </w:t>
      </w:r>
      <w:r w:rsidR="00484ECA" w:rsidRPr="00833EFF">
        <w:rPr>
          <w:rFonts w:ascii="Times New Roman" w:hAnsi="Times New Roman" w:cs="Times New Roman"/>
          <w:sz w:val="24"/>
          <w:szCs w:val="24"/>
        </w:rPr>
        <w:fldChar w:fldCharType="begin"/>
      </w:r>
      <w:r w:rsidRPr="00833EFF">
        <w:rPr>
          <w:rFonts w:ascii="Times New Roman" w:hAnsi="Times New Roman" w:cs="Times New Roman"/>
          <w:sz w:val="24"/>
          <w:szCs w:val="24"/>
        </w:rPr>
        <w:instrText xml:space="preserve"> ADDIN ZOTERO_ITEM CSL_CITATION {"citationID":"59LU0VuI","properties":{"formattedCitation":"[1]","plainCitation":"[1]","noteIndex":0},"citationItems":[{"id":"QaV5Bq67/j4Ek67xm","uris":["http://zotero.org/users/local/ivZoS0gS/items/NQL3SHXQ",["http://zotero.org/users/local/ivZoS0gS/items/NQL3SHXQ"]],"itemData":{"id":11,"type":"article-journal","container-title":"Journal de Radiologie","DOI":"10.1016/S0221-0363(09)72520-X","ISSN":"02210363","issue":"3","journalAbbreviation":"Journal de Radiologie","language":"fr","page":"354-358","source":"DOI.org (Crossref)","title":"Conduite à tenir devant un nodule thyroïdien","volume":"90","author":[{"family":"Leenhardt","given":"L."}],"issued":{"date-parts":[["2009",3]]}}}],"schema":"https://github.com/citation-style-language/schema/raw/master/csl-citation.json"} </w:instrText>
      </w:r>
      <w:r w:rsidR="00484ECA" w:rsidRPr="00833EFF">
        <w:rPr>
          <w:rFonts w:ascii="Times New Roman" w:hAnsi="Times New Roman" w:cs="Times New Roman"/>
          <w:sz w:val="24"/>
          <w:szCs w:val="24"/>
        </w:rPr>
        <w:fldChar w:fldCharType="separate"/>
      </w:r>
      <w:r>
        <w:rPr>
          <w:rFonts w:ascii="Times New Roman" w:hAnsi="Times New Roman" w:cs="Times New Roman"/>
          <w:sz w:val="24"/>
          <w:szCs w:val="24"/>
        </w:rPr>
        <w:t>(</w:t>
      </w:r>
      <w:r w:rsidRPr="00833EFF">
        <w:rPr>
          <w:rFonts w:ascii="Times New Roman" w:hAnsi="Times New Roman" w:cs="Times New Roman"/>
          <w:sz w:val="24"/>
          <w:szCs w:val="24"/>
        </w:rPr>
        <w:t>1</w:t>
      </w:r>
      <w:r w:rsidR="00484ECA" w:rsidRPr="00833EFF">
        <w:rPr>
          <w:rFonts w:ascii="Times New Roman" w:hAnsi="Times New Roman" w:cs="Times New Roman"/>
          <w:sz w:val="24"/>
          <w:szCs w:val="24"/>
        </w:rPr>
        <w:fldChar w:fldCharType="end"/>
      </w:r>
      <w:r>
        <w:rPr>
          <w:rFonts w:ascii="Times New Roman" w:hAnsi="Times New Roman" w:cs="Times New Roman"/>
          <w:sz w:val="24"/>
          <w:szCs w:val="24"/>
        </w:rPr>
        <w:t>)</w:t>
      </w:r>
      <w:r w:rsidRPr="00833EFF">
        <w:rPr>
          <w:rFonts w:ascii="Times New Roman" w:hAnsi="Times New Roman" w:cs="Times New Roman"/>
          <w:sz w:val="24"/>
          <w:szCs w:val="24"/>
        </w:rPr>
        <w:t xml:space="preserve">. C’est une pathologie relativement fréquente puisqu’elle est observée chez 4 à 7% de la population adulte, et que moins de 5% de ces nodules thyroïdiens sont malins </w:t>
      </w:r>
      <w:r w:rsidR="00484ECA" w:rsidRPr="00833EFF">
        <w:rPr>
          <w:rFonts w:ascii="Times New Roman" w:hAnsi="Times New Roman" w:cs="Times New Roman"/>
          <w:sz w:val="24"/>
          <w:szCs w:val="24"/>
        </w:rPr>
        <w:fldChar w:fldCharType="begin"/>
      </w:r>
      <w:r w:rsidRPr="00833EFF">
        <w:rPr>
          <w:rFonts w:ascii="Times New Roman" w:hAnsi="Times New Roman" w:cs="Times New Roman"/>
          <w:sz w:val="24"/>
          <w:szCs w:val="24"/>
        </w:rPr>
        <w:instrText xml:space="preserve"> ADDIN ZOTERO_ITEM CSL_CITATION {"citationID":"2xfqlbWu","properties":{"formattedCitation":"[2]","plainCitation":"[2]","noteIndex":0},"citationItems":[{"id":"QaV5Bq67/uymXrAgh","uris":["http://zotero.org/users/local/ivZoS0gS/items/3HX5YB5W",["http://zotero.org/users/local/ivZoS0gS/items/3HX5YB5W"]],"itemData":{"id":96,"type":"article-journal","container-title":"Annals of Internal Medicine","DOI":"10.7326/0003-4819-118-4-199302150-00007","ISSN":"0003-4819","issue":"4","journalAbbreviation":"Ann Intern Med","language":"en","page":"282","source":"DOI.org (Crossref)","title":"Fine-Needle Aspiration Biopsy of the Thyroid: An Appraisal","title-short":"Fine-Needle Aspiration Biopsy of the Thyroid","volume":"118","author":[{"family":"Gharib","given":"Hossein"}],"issued":{"date-parts":[["1993",2,15]]}}}],"schema":"https://github.com/citation-style-language/schema/raw/master/csl-citation.json"} </w:instrText>
      </w:r>
      <w:r w:rsidR="00484ECA" w:rsidRPr="00833EFF">
        <w:rPr>
          <w:rFonts w:ascii="Times New Roman" w:hAnsi="Times New Roman" w:cs="Times New Roman"/>
          <w:sz w:val="24"/>
          <w:szCs w:val="24"/>
        </w:rPr>
        <w:fldChar w:fldCharType="separate"/>
      </w:r>
      <w:r>
        <w:rPr>
          <w:rFonts w:ascii="Times New Roman" w:hAnsi="Times New Roman" w:cs="Times New Roman"/>
          <w:sz w:val="24"/>
          <w:szCs w:val="24"/>
        </w:rPr>
        <w:t>(</w:t>
      </w:r>
      <w:r w:rsidRPr="00833EFF">
        <w:rPr>
          <w:rFonts w:ascii="Times New Roman" w:hAnsi="Times New Roman" w:cs="Times New Roman"/>
          <w:sz w:val="24"/>
          <w:szCs w:val="24"/>
        </w:rPr>
        <w:t>2</w:t>
      </w:r>
      <w:r w:rsidR="00484ECA" w:rsidRPr="00833EFF">
        <w:rPr>
          <w:rFonts w:ascii="Times New Roman" w:hAnsi="Times New Roman" w:cs="Times New Roman"/>
          <w:sz w:val="24"/>
          <w:szCs w:val="24"/>
        </w:rPr>
        <w:fldChar w:fldCharType="end"/>
      </w:r>
      <w:r>
        <w:rPr>
          <w:rFonts w:ascii="Times New Roman" w:hAnsi="Times New Roman" w:cs="Times New Roman"/>
          <w:sz w:val="24"/>
          <w:szCs w:val="24"/>
        </w:rPr>
        <w:t>)</w:t>
      </w:r>
      <w:r w:rsidRPr="00833EFF">
        <w:rPr>
          <w:rFonts w:ascii="Times New Roman" w:hAnsi="Times New Roman" w:cs="Times New Roman"/>
          <w:sz w:val="24"/>
          <w:szCs w:val="24"/>
        </w:rPr>
        <w:t xml:space="preserve">. La conduite à tenir devant un nodule thyroïdien reste dictée par la crainte de cancer, ce qui impose de déterminer le diagnostic le plus tôt possible. A Antananarivo, la majorité des patients porteurs de nodules thyroïdiens était classiquement destinée à être opérée </w:t>
      </w:r>
      <w:r w:rsidR="00484ECA" w:rsidRPr="00833EFF">
        <w:rPr>
          <w:rFonts w:ascii="Times New Roman" w:hAnsi="Times New Roman" w:cs="Times New Roman"/>
          <w:sz w:val="24"/>
          <w:szCs w:val="24"/>
        </w:rPr>
        <w:fldChar w:fldCharType="begin"/>
      </w:r>
      <w:r w:rsidRPr="00833EFF">
        <w:rPr>
          <w:rFonts w:ascii="Times New Roman" w:hAnsi="Times New Roman" w:cs="Times New Roman"/>
          <w:sz w:val="24"/>
          <w:szCs w:val="24"/>
        </w:rPr>
        <w:instrText xml:space="preserve"> ADDIN ZOTERO_ITEM CSL_CITATION {"citationID":"CvFWlQBw","properties":{"formattedCitation":"[4]","plainCitation":"[4]","noteIndex":0},"citationItems":[{"id":"QaV5Bq67/LX6fFDeA","uris":["http://zotero.org/users/local/ivZoS0gS/items/8THPFJST",["http://zotero.org/users/local/ivZoS0gS/items/8THPFJST"]],"itemData":{"id":139,"type":"book","event-place":"Médecine humaine : Antananarivo ; 2015 : 39.","publisher-place":"Médecine humaine : Antananarivo ; 2015 : 39.","title":"Apport de la cytoponction dans la chirurgie des nodules thyroïdiens [Thèse].","author":[{"family":"Ranjandriarison L D","given":""}]}}],"schema":"https://github.com/citation-style-language/schema/raw/master/csl-citation.json"} </w:instrText>
      </w:r>
      <w:r w:rsidR="00484ECA" w:rsidRPr="00833EFF">
        <w:rPr>
          <w:rFonts w:ascii="Times New Roman" w:hAnsi="Times New Roman" w:cs="Times New Roman"/>
          <w:sz w:val="24"/>
          <w:szCs w:val="24"/>
        </w:rPr>
        <w:fldChar w:fldCharType="separate"/>
      </w:r>
      <w:r>
        <w:rPr>
          <w:rFonts w:ascii="Times New Roman" w:hAnsi="Times New Roman" w:cs="Times New Roman"/>
          <w:sz w:val="24"/>
          <w:szCs w:val="24"/>
        </w:rPr>
        <w:t>(</w:t>
      </w:r>
      <w:r w:rsidRPr="00833EFF">
        <w:rPr>
          <w:rFonts w:ascii="Times New Roman" w:hAnsi="Times New Roman" w:cs="Times New Roman"/>
          <w:sz w:val="24"/>
          <w:szCs w:val="24"/>
        </w:rPr>
        <w:t>3</w:t>
      </w:r>
      <w:r w:rsidR="00484ECA" w:rsidRPr="00833EFF">
        <w:rPr>
          <w:rFonts w:ascii="Times New Roman" w:hAnsi="Times New Roman" w:cs="Times New Roman"/>
          <w:sz w:val="24"/>
          <w:szCs w:val="24"/>
        </w:rPr>
        <w:fldChar w:fldCharType="end"/>
      </w:r>
      <w:r>
        <w:rPr>
          <w:rFonts w:ascii="Times New Roman" w:hAnsi="Times New Roman" w:cs="Times New Roman"/>
          <w:sz w:val="24"/>
          <w:szCs w:val="24"/>
        </w:rPr>
        <w:t>)</w:t>
      </w:r>
      <w:r w:rsidRPr="00833EFF">
        <w:rPr>
          <w:rFonts w:ascii="Times New Roman" w:hAnsi="Times New Roman" w:cs="Times New Roman"/>
          <w:sz w:val="24"/>
          <w:szCs w:val="24"/>
        </w:rPr>
        <w:t xml:space="preserve"> . La cytoponction thyroïdienne apporte actuellement une modification de la prise en charge des nodules thyroïdiens et  constitue une pratique courante dans le diagnostic des  nodules thyroïdiens </w:t>
      </w:r>
      <w:r w:rsidR="00484ECA" w:rsidRPr="00833EFF">
        <w:rPr>
          <w:rFonts w:ascii="Times New Roman" w:hAnsi="Times New Roman" w:cs="Times New Roman"/>
          <w:sz w:val="24"/>
          <w:szCs w:val="24"/>
        </w:rPr>
        <w:fldChar w:fldCharType="begin"/>
      </w:r>
      <w:r w:rsidRPr="00833EFF">
        <w:rPr>
          <w:rFonts w:ascii="Times New Roman" w:hAnsi="Times New Roman" w:cs="Times New Roman"/>
          <w:sz w:val="24"/>
          <w:szCs w:val="24"/>
        </w:rPr>
        <w:instrText xml:space="preserve"> ADDIN ZOTERO_ITEM CSL_CITATION {"citationID":"ZIENEf9L","properties":{"formattedCitation":"[6]","plainCitation":"[6]","noteIndex":0},"citationItems":[{"id":"QaV5Bq67/Xi1XV6pb","uris":["http://zotero.org/users/local/ivZoS0gS/items/3CTSWLSN",["http://zotero.org/users/local/ivZoS0gS/items/3CTSWLSN"]],"itemData":{"id":100,"type":"article-journal","container-title":"Head &amp; Neck Surgery","DOI":"10.1002/hed.2890030406","ISSN":"01486403, 19302398","issue":"4","journalAbbreviation":"Head Neck","language":"en","page":"297-322","source":"DOI.org (Crossref)","title":"Management of thyroid nodules. II: Scanning techniques, thyroid suppressive therapy, and fine needle aspiration","title-short":"Management of thyroid nodules. II","volume":"3","author":[{"family":"Ashcraft","given":"Michael W."},{"family":"Van Herle","given":"Andre J."}],"issued":{"date-parts":[["1981",3]]}}}],"schema":"https://github.com/citation-style-language/schema/raw/master/csl-citation.json"} </w:instrText>
      </w:r>
      <w:r w:rsidR="00484ECA" w:rsidRPr="00833EFF">
        <w:rPr>
          <w:rFonts w:ascii="Times New Roman" w:hAnsi="Times New Roman" w:cs="Times New Roman"/>
          <w:sz w:val="24"/>
          <w:szCs w:val="24"/>
        </w:rPr>
        <w:fldChar w:fldCharType="separate"/>
      </w:r>
      <w:r>
        <w:rPr>
          <w:rFonts w:ascii="Times New Roman" w:hAnsi="Times New Roman" w:cs="Times New Roman"/>
          <w:sz w:val="24"/>
          <w:szCs w:val="24"/>
        </w:rPr>
        <w:t>(</w:t>
      </w:r>
      <w:r w:rsidRPr="00833EFF">
        <w:rPr>
          <w:rFonts w:ascii="Times New Roman" w:hAnsi="Times New Roman" w:cs="Times New Roman"/>
          <w:sz w:val="24"/>
          <w:szCs w:val="24"/>
        </w:rPr>
        <w:t>4</w:t>
      </w:r>
      <w:r w:rsidR="00484ECA" w:rsidRPr="00833EFF">
        <w:rPr>
          <w:rFonts w:ascii="Times New Roman" w:hAnsi="Times New Roman" w:cs="Times New Roman"/>
          <w:sz w:val="24"/>
          <w:szCs w:val="24"/>
        </w:rPr>
        <w:fldChar w:fldCharType="end"/>
      </w:r>
      <w:r>
        <w:rPr>
          <w:rFonts w:ascii="Times New Roman" w:hAnsi="Times New Roman" w:cs="Times New Roman"/>
          <w:sz w:val="24"/>
          <w:szCs w:val="24"/>
        </w:rPr>
        <w:t>)</w:t>
      </w:r>
      <w:r w:rsidRPr="00833EFF">
        <w:rPr>
          <w:rFonts w:ascii="Times New Roman" w:hAnsi="Times New Roman" w:cs="Times New Roman"/>
          <w:sz w:val="24"/>
          <w:szCs w:val="24"/>
        </w:rPr>
        <w:t xml:space="preserve">. Elle est fortement recommandée pour prédire le caractère du nodule et contribue à une meilleure indication chirurgicale. </w:t>
      </w:r>
      <w:r w:rsidRPr="00833EFF">
        <w:rPr>
          <w:rFonts w:ascii="Times New Roman" w:hAnsi="Times New Roman" w:cs="Times New Roman"/>
          <w:color w:val="0A0A0A"/>
          <w:sz w:val="24"/>
          <w:szCs w:val="24"/>
          <w:shd w:val="clear" w:color="auto" w:fill="FFFFFF"/>
        </w:rPr>
        <w:t>Les objectifs consistent à évaluer sa pratique, de décrire les caractéristiques des patients et de déterminer la prévalence des différents types de résultats</w:t>
      </w:r>
      <w:r w:rsidRPr="00833EFF">
        <w:rPr>
          <w:rFonts w:ascii="Times New Roman" w:hAnsi="Times New Roman" w:cs="Times New Roman"/>
          <w:sz w:val="24"/>
          <w:szCs w:val="24"/>
        </w:rPr>
        <w:t xml:space="preserve">. </w:t>
      </w:r>
    </w:p>
    <w:p w:rsidR="00685DE2" w:rsidRPr="007108E8" w:rsidRDefault="00D00BC6" w:rsidP="007108E8">
      <w:pPr>
        <w:spacing w:line="240" w:lineRule="auto"/>
        <w:jc w:val="both"/>
        <w:rPr>
          <w:rFonts w:ascii="Times New Roman" w:hAnsi="Times New Roman" w:cs="Times New Roman"/>
          <w:b/>
          <w:color w:val="0000FF"/>
          <w:sz w:val="24"/>
        </w:rPr>
      </w:pPr>
      <w:r>
        <w:rPr>
          <w:rFonts w:ascii="Times New Roman" w:hAnsi="Times New Roman" w:cs="Times New Roman"/>
          <w:b/>
          <w:noProof/>
          <w:color w:val="0000FF"/>
          <w:sz w:val="24"/>
        </w:rPr>
        <w:pict>
          <v:shape id="_x0000_s1037" type="#_x0000_t32" style="position:absolute;left:0;text-align:left;margin-left:52.15pt;margin-top:9.4pt;width:399pt;height:.05pt;z-index:251667456" o:connectortype="straight" strokecolor="blue" strokeweight="1.5pt"/>
        </w:pict>
      </w:r>
      <w:r w:rsidR="00940345">
        <w:rPr>
          <w:rFonts w:ascii="Times New Roman" w:hAnsi="Times New Roman" w:cs="Times New Roman"/>
          <w:b/>
          <w:color w:val="0000FF"/>
          <w:sz w:val="24"/>
        </w:rPr>
        <w:t>Ré</w:t>
      </w:r>
      <w:r w:rsidR="00685DE2" w:rsidRPr="007108E8">
        <w:rPr>
          <w:rFonts w:ascii="Times New Roman" w:hAnsi="Times New Roman" w:cs="Times New Roman"/>
          <w:b/>
          <w:color w:val="0000FF"/>
          <w:sz w:val="24"/>
        </w:rPr>
        <w:t>s</w:t>
      </w:r>
      <w:r w:rsidR="00940345">
        <w:rPr>
          <w:rFonts w:ascii="Times New Roman" w:hAnsi="Times New Roman" w:cs="Times New Roman"/>
          <w:b/>
          <w:color w:val="0000FF"/>
          <w:sz w:val="24"/>
        </w:rPr>
        <w:t>ultats</w:t>
      </w:r>
    </w:p>
    <w:p w:rsidR="003F2BF8" w:rsidRDefault="003F2BF8" w:rsidP="007108E8">
      <w:pPr>
        <w:spacing w:line="240" w:lineRule="auto"/>
        <w:jc w:val="both"/>
        <w:rPr>
          <w:rFonts w:ascii="Times New Roman" w:hAnsi="Times New Roman" w:cs="Times New Roman"/>
          <w:b/>
          <w:sz w:val="24"/>
        </w:rPr>
        <w:sectPr w:rsidR="003F2BF8" w:rsidSect="00AD099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start="450"/>
          <w:cols w:space="708"/>
          <w:docGrid w:linePitch="360"/>
        </w:sectPr>
      </w:pPr>
    </w:p>
    <w:p w:rsidR="00940345" w:rsidRDefault="00940345" w:rsidP="00940345">
      <w:pPr>
        <w:widowControl w:val="0"/>
        <w:spacing w:line="240" w:lineRule="auto"/>
        <w:jc w:val="both"/>
        <w:rPr>
          <w:rFonts w:ascii="Times New Roman" w:hAnsi="Times New Roman" w:cs="Times New Roman"/>
          <w:sz w:val="24"/>
          <w:szCs w:val="24"/>
        </w:rPr>
      </w:pPr>
      <w:r w:rsidRPr="00833EFF">
        <w:rPr>
          <w:rFonts w:ascii="Times New Roman" w:hAnsi="Times New Roman" w:cs="Times New Roman"/>
          <w:sz w:val="24"/>
          <w:szCs w:val="24"/>
        </w:rPr>
        <w:lastRenderedPageBreak/>
        <w:t>Cette étude a colligé 512 cytoponctions thyroïdiennes sur une période de 5 ans, avec une moyenne annuelle de 102,4 et mensuelle de 8,5 prélèvements. L’âge moyen des patients a été de 47,7 (±14,2) ans avec un pic de fréquence dans la tranche d’âge [40 – 49] ans</w:t>
      </w:r>
      <w:r w:rsidR="005A64AE">
        <w:rPr>
          <w:rFonts w:ascii="Times New Roman" w:hAnsi="Times New Roman" w:cs="Times New Roman"/>
          <w:sz w:val="24"/>
          <w:szCs w:val="24"/>
        </w:rPr>
        <w:t xml:space="preserve"> </w:t>
      </w:r>
      <w:r w:rsidRPr="00940345">
        <w:rPr>
          <w:rFonts w:ascii="Times New Roman" w:hAnsi="Times New Roman" w:cs="Times New Roman"/>
          <w:b/>
          <w:sz w:val="24"/>
          <w:szCs w:val="24"/>
        </w:rPr>
        <w:t>(Figure 1)</w:t>
      </w:r>
      <w:r w:rsidRPr="00833EFF">
        <w:rPr>
          <w:rFonts w:ascii="Times New Roman" w:hAnsi="Times New Roman" w:cs="Times New Roman"/>
          <w:sz w:val="24"/>
          <w:szCs w:val="24"/>
        </w:rPr>
        <w:t>.</w:t>
      </w:r>
    </w:p>
    <w:p w:rsidR="00940345" w:rsidRDefault="003D6F81" w:rsidP="00940345">
      <w:pPr>
        <w:widowControl w:val="0"/>
        <w:spacing w:line="240" w:lineRule="auto"/>
        <w:jc w:val="both"/>
        <w:rPr>
          <w:rFonts w:ascii="Times New Roman" w:hAnsi="Times New Roman" w:cs="Times New Roman"/>
          <w:sz w:val="24"/>
          <w:szCs w:val="24"/>
        </w:rPr>
      </w:pPr>
      <w:r>
        <w:rPr>
          <w:noProof/>
          <w:lang w:eastAsia="fr-FR"/>
        </w:rPr>
        <w:drawing>
          <wp:inline distT="0" distB="0" distL="0" distR="0">
            <wp:extent cx="2413307" cy="197358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436783" cy="1992778"/>
                    </a:xfrm>
                    <a:prstGeom prst="rect">
                      <a:avLst/>
                    </a:prstGeom>
                  </pic:spPr>
                </pic:pic>
              </a:graphicData>
            </a:graphic>
          </wp:inline>
        </w:drawing>
      </w:r>
    </w:p>
    <w:p w:rsidR="00525449" w:rsidRDefault="00940345" w:rsidP="00940345">
      <w:pPr>
        <w:widowControl w:val="0"/>
        <w:spacing w:line="240" w:lineRule="auto"/>
        <w:jc w:val="both"/>
        <w:rPr>
          <w:rFonts w:ascii="Times New Roman" w:hAnsi="Times New Roman" w:cs="Times New Roman"/>
          <w:bCs/>
          <w:sz w:val="24"/>
          <w:szCs w:val="24"/>
        </w:rPr>
      </w:pPr>
      <w:r w:rsidRPr="00833EFF">
        <w:rPr>
          <w:rFonts w:ascii="Times New Roman" w:hAnsi="Times New Roman" w:cs="Times New Roman"/>
          <w:sz w:val="24"/>
          <w:szCs w:val="24"/>
        </w:rPr>
        <w:t xml:space="preserve">Dans cette série nous avons observé une </w:t>
      </w:r>
      <w:r w:rsidRPr="00833EFF">
        <w:rPr>
          <w:rFonts w:ascii="Times New Roman" w:hAnsi="Times New Roman" w:cs="Times New Roman"/>
          <w:sz w:val="24"/>
          <w:szCs w:val="24"/>
        </w:rPr>
        <w:lastRenderedPageBreak/>
        <w:t>prédominance féminine avec un sex-ratio de 0,13 soit 60 hommes et 452 femmes</w:t>
      </w:r>
      <w:r w:rsidR="005A64AE">
        <w:rPr>
          <w:rFonts w:ascii="Times New Roman" w:hAnsi="Times New Roman" w:cs="Times New Roman"/>
          <w:sz w:val="24"/>
          <w:szCs w:val="24"/>
        </w:rPr>
        <w:t xml:space="preserve"> </w:t>
      </w:r>
      <w:r w:rsidRPr="00525449">
        <w:rPr>
          <w:rFonts w:ascii="Times New Roman" w:hAnsi="Times New Roman" w:cs="Times New Roman"/>
          <w:b/>
          <w:sz w:val="24"/>
          <w:szCs w:val="24"/>
        </w:rPr>
        <w:t>(Figure 2)</w:t>
      </w:r>
      <w:r w:rsidRPr="00833EFF">
        <w:rPr>
          <w:rFonts w:ascii="Times New Roman" w:hAnsi="Times New Roman" w:cs="Times New Roman"/>
          <w:sz w:val="24"/>
          <w:szCs w:val="24"/>
        </w:rPr>
        <w:t>.</w:t>
      </w:r>
    </w:p>
    <w:p w:rsidR="00525449" w:rsidRDefault="00525449" w:rsidP="00940345">
      <w:pPr>
        <w:widowControl w:val="0"/>
        <w:spacing w:line="240" w:lineRule="auto"/>
        <w:jc w:val="both"/>
        <w:rPr>
          <w:rFonts w:ascii="Times New Roman" w:hAnsi="Times New Roman" w:cs="Times New Roman"/>
          <w:bCs/>
          <w:sz w:val="24"/>
          <w:szCs w:val="24"/>
        </w:rPr>
      </w:pPr>
      <w:r>
        <w:rPr>
          <w:noProof/>
          <w:lang w:eastAsia="fr-FR"/>
        </w:rPr>
        <w:drawing>
          <wp:inline distT="0" distB="0" distL="0" distR="0">
            <wp:extent cx="2655570" cy="225425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2655570" cy="2254250"/>
                    </a:xfrm>
                    <a:prstGeom prst="rect">
                      <a:avLst/>
                    </a:prstGeom>
                  </pic:spPr>
                </pic:pic>
              </a:graphicData>
            </a:graphic>
          </wp:inline>
        </w:drawing>
      </w:r>
    </w:p>
    <w:p w:rsidR="003D6F81" w:rsidRDefault="00940345" w:rsidP="00940345">
      <w:pPr>
        <w:widowControl w:val="0"/>
        <w:spacing w:line="240" w:lineRule="auto"/>
        <w:jc w:val="both"/>
        <w:rPr>
          <w:rFonts w:ascii="Times New Roman" w:hAnsi="Times New Roman" w:cs="Times New Roman"/>
          <w:sz w:val="24"/>
          <w:szCs w:val="24"/>
        </w:rPr>
      </w:pPr>
      <w:r w:rsidRPr="00833EFF">
        <w:rPr>
          <w:rFonts w:ascii="Times New Roman" w:hAnsi="Times New Roman" w:cs="Times New Roman"/>
          <w:color w:val="0A0A0A"/>
          <w:sz w:val="24"/>
          <w:szCs w:val="24"/>
          <w:shd w:val="clear" w:color="auto" w:fill="FFFFFF"/>
        </w:rPr>
        <w:t xml:space="preserve">La catégorie I « Non diagnostique » a prédominé </w:t>
      </w:r>
      <w:r w:rsidRPr="00833EFF">
        <w:rPr>
          <w:rFonts w:ascii="Times New Roman" w:hAnsi="Times New Roman" w:cs="Times New Roman"/>
          <w:sz w:val="24"/>
          <w:szCs w:val="24"/>
        </w:rPr>
        <w:t xml:space="preserve">n=146 </w:t>
      </w:r>
      <w:r w:rsidRPr="00833EFF">
        <w:rPr>
          <w:rFonts w:ascii="Times New Roman" w:hAnsi="Times New Roman" w:cs="Times New Roman"/>
          <w:color w:val="0A0A0A"/>
          <w:sz w:val="24"/>
          <w:szCs w:val="24"/>
          <w:shd w:val="clear" w:color="auto" w:fill="FFFFFF"/>
        </w:rPr>
        <w:t xml:space="preserve">(28,51%), suivie de </w:t>
      </w:r>
      <w:r w:rsidRPr="00833EFF">
        <w:rPr>
          <w:rFonts w:ascii="Times New Roman" w:hAnsi="Times New Roman" w:cs="Times New Roman"/>
          <w:sz w:val="24"/>
          <w:szCs w:val="24"/>
        </w:rPr>
        <w:t xml:space="preserve">la catégorie Ⅲ « Atypies de signification </w:t>
      </w:r>
      <w:r w:rsidRPr="00833EFF">
        <w:rPr>
          <w:rFonts w:ascii="Times New Roman" w:hAnsi="Times New Roman" w:cs="Times New Roman"/>
          <w:sz w:val="24"/>
          <w:szCs w:val="24"/>
        </w:rPr>
        <w:lastRenderedPageBreak/>
        <w:t>indéterminée » n= 128 (25%)</w:t>
      </w:r>
      <w:r w:rsidRPr="00833EFF">
        <w:rPr>
          <w:rFonts w:ascii="Times New Roman" w:hAnsi="Times New Roman" w:cs="Times New Roman"/>
          <w:color w:val="0A0A0A"/>
          <w:sz w:val="24"/>
          <w:szCs w:val="24"/>
          <w:shd w:val="clear" w:color="auto" w:fill="FFFFFF"/>
        </w:rPr>
        <w:t xml:space="preserve">. La catégorie V « Suspect de malignité » ont représenté </w:t>
      </w:r>
      <w:r w:rsidRPr="00833EFF">
        <w:rPr>
          <w:rFonts w:ascii="Times New Roman" w:hAnsi="Times New Roman" w:cs="Times New Roman"/>
          <w:color w:val="202124"/>
          <w:sz w:val="24"/>
          <w:szCs w:val="24"/>
        </w:rPr>
        <w:t>n=90</w:t>
      </w:r>
      <w:r w:rsidRPr="00833EFF">
        <w:rPr>
          <w:rFonts w:ascii="Times New Roman" w:hAnsi="Times New Roman" w:cs="Times New Roman"/>
          <w:color w:val="0A0A0A"/>
          <w:sz w:val="24"/>
          <w:szCs w:val="24"/>
          <w:shd w:val="clear" w:color="auto" w:fill="FFFFFF"/>
        </w:rPr>
        <w:t xml:space="preserve"> (17,57%) </w:t>
      </w:r>
      <w:r w:rsidRPr="00833EFF">
        <w:rPr>
          <w:rFonts w:ascii="Times New Roman" w:hAnsi="Times New Roman" w:cs="Times New Roman"/>
          <w:sz w:val="24"/>
          <w:szCs w:val="24"/>
        </w:rPr>
        <w:t xml:space="preserve">des cas, </w:t>
      </w:r>
      <w:r w:rsidRPr="00833EFF">
        <w:rPr>
          <w:rFonts w:ascii="Times New Roman" w:hAnsi="Times New Roman" w:cs="Times New Roman"/>
          <w:color w:val="0A0A0A"/>
          <w:sz w:val="24"/>
          <w:szCs w:val="24"/>
          <w:shd w:val="clear" w:color="auto" w:fill="FFFFFF"/>
        </w:rPr>
        <w:t xml:space="preserve">la catégorie II « Bénin » </w:t>
      </w:r>
      <w:r w:rsidRPr="00833EFF">
        <w:rPr>
          <w:rFonts w:ascii="Times New Roman" w:hAnsi="Times New Roman" w:cs="Times New Roman"/>
          <w:sz w:val="24"/>
          <w:szCs w:val="24"/>
        </w:rPr>
        <w:t>n= 80</w:t>
      </w:r>
      <w:r w:rsidRPr="00833EFF">
        <w:rPr>
          <w:rFonts w:ascii="Times New Roman" w:hAnsi="Times New Roman" w:cs="Times New Roman"/>
          <w:color w:val="0A0A0A"/>
          <w:sz w:val="24"/>
          <w:szCs w:val="24"/>
          <w:shd w:val="clear" w:color="auto" w:fill="FFFFFF"/>
        </w:rPr>
        <w:t xml:space="preserve"> (15,62%)</w:t>
      </w:r>
      <w:r w:rsidRPr="00833EFF">
        <w:rPr>
          <w:rFonts w:ascii="Times New Roman" w:hAnsi="Times New Roman" w:cs="Times New Roman"/>
          <w:sz w:val="24"/>
          <w:szCs w:val="24"/>
        </w:rPr>
        <w:t xml:space="preserve">, la catégorie IV « Néoplasie folliculaire » </w:t>
      </w:r>
      <w:r w:rsidRPr="00833EFF">
        <w:rPr>
          <w:rFonts w:ascii="Times New Roman" w:hAnsi="Times New Roman" w:cs="Times New Roman"/>
          <w:color w:val="202124"/>
          <w:sz w:val="24"/>
          <w:szCs w:val="24"/>
        </w:rPr>
        <w:t>n= 53</w:t>
      </w:r>
      <w:r w:rsidRPr="00833EFF">
        <w:rPr>
          <w:rFonts w:ascii="Times New Roman" w:hAnsi="Times New Roman" w:cs="Times New Roman"/>
          <w:sz w:val="24"/>
          <w:szCs w:val="24"/>
        </w:rPr>
        <w:t xml:space="preserve"> (10,35%), et la catégorie Ⅵ « Maligne » 2,92% (n=15)</w:t>
      </w:r>
      <w:r w:rsidR="005A64AE">
        <w:rPr>
          <w:rFonts w:ascii="Times New Roman" w:hAnsi="Times New Roman" w:cs="Times New Roman"/>
          <w:sz w:val="24"/>
          <w:szCs w:val="24"/>
        </w:rPr>
        <w:t xml:space="preserve"> </w:t>
      </w:r>
      <w:r w:rsidRPr="00940345">
        <w:rPr>
          <w:rFonts w:ascii="Times New Roman" w:hAnsi="Times New Roman" w:cs="Times New Roman"/>
          <w:b/>
          <w:sz w:val="24"/>
          <w:szCs w:val="24"/>
        </w:rPr>
        <w:t>(Tableau I)</w:t>
      </w:r>
      <w:r w:rsidRPr="00833EFF">
        <w:rPr>
          <w:rFonts w:ascii="Times New Roman" w:hAnsi="Times New Roman" w:cs="Times New Roman"/>
          <w:sz w:val="24"/>
          <w:szCs w:val="24"/>
        </w:rPr>
        <w:t xml:space="preserve">. </w:t>
      </w:r>
    </w:p>
    <w:p w:rsidR="00525449" w:rsidRDefault="00525449" w:rsidP="00940345">
      <w:pPr>
        <w:widowControl w:val="0"/>
        <w:spacing w:line="240" w:lineRule="auto"/>
        <w:jc w:val="both"/>
        <w:rPr>
          <w:rFonts w:ascii="Times New Roman" w:hAnsi="Times New Roman" w:cs="Times New Roman"/>
          <w:sz w:val="24"/>
          <w:szCs w:val="24"/>
        </w:rPr>
      </w:pPr>
      <w:r>
        <w:rPr>
          <w:noProof/>
          <w:lang w:eastAsia="fr-FR"/>
        </w:rPr>
        <w:drawing>
          <wp:inline distT="0" distB="0" distL="0" distR="0">
            <wp:extent cx="2655570" cy="2192655"/>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655570" cy="2192655"/>
                    </a:xfrm>
                    <a:prstGeom prst="rect">
                      <a:avLst/>
                    </a:prstGeom>
                  </pic:spPr>
                </pic:pic>
              </a:graphicData>
            </a:graphic>
          </wp:inline>
        </w:drawing>
      </w:r>
    </w:p>
    <w:p w:rsidR="00940345" w:rsidRDefault="00940345" w:rsidP="00940345">
      <w:pPr>
        <w:widowControl w:val="0"/>
        <w:spacing w:line="240" w:lineRule="auto"/>
        <w:jc w:val="both"/>
        <w:rPr>
          <w:rFonts w:ascii="Times New Roman" w:hAnsi="Times New Roman" w:cs="Times New Roman"/>
          <w:sz w:val="24"/>
          <w:szCs w:val="24"/>
        </w:rPr>
      </w:pPr>
      <w:r w:rsidRPr="00833EFF">
        <w:rPr>
          <w:rFonts w:ascii="Times New Roman" w:hAnsi="Times New Roman" w:cs="Times New Roman"/>
          <w:sz w:val="24"/>
          <w:szCs w:val="24"/>
        </w:rPr>
        <w:t xml:space="preserve">La corrélation entre les tranches d’âge et le résultats cytologiques avec une p-value = </w:t>
      </w:r>
      <w:r w:rsidRPr="00833EFF">
        <w:rPr>
          <w:rFonts w:ascii="Times New Roman" w:hAnsi="Times New Roman" w:cs="Times New Roman"/>
          <w:sz w:val="24"/>
          <w:szCs w:val="24"/>
        </w:rPr>
        <w:lastRenderedPageBreak/>
        <w:t>0,93, montrait une prédominance des lésions de type « suspect de malignité » (Bethesda V) chez les patients entre 40 à 49 ans et une prédominance des lésions « malignes » (Bethesda VI) chez les patients de 50 à 59 ans</w:t>
      </w:r>
      <w:r w:rsidR="005A64AE">
        <w:rPr>
          <w:rFonts w:ascii="Times New Roman" w:hAnsi="Times New Roman" w:cs="Times New Roman"/>
          <w:sz w:val="24"/>
          <w:szCs w:val="24"/>
        </w:rPr>
        <w:t xml:space="preserve"> </w:t>
      </w:r>
      <w:r w:rsidRPr="00940345">
        <w:rPr>
          <w:rFonts w:ascii="Times New Roman" w:hAnsi="Times New Roman" w:cs="Times New Roman"/>
          <w:b/>
          <w:sz w:val="24"/>
          <w:szCs w:val="24"/>
        </w:rPr>
        <w:t>(Tableau II)</w:t>
      </w:r>
      <w:r w:rsidRPr="00833EFF">
        <w:rPr>
          <w:rFonts w:ascii="Times New Roman" w:hAnsi="Times New Roman" w:cs="Times New Roman"/>
          <w:sz w:val="24"/>
          <w:szCs w:val="24"/>
        </w:rPr>
        <w:t xml:space="preserve">. </w:t>
      </w:r>
    </w:p>
    <w:p w:rsidR="00525449" w:rsidRPr="00FF0098" w:rsidRDefault="00525449" w:rsidP="00940345">
      <w:pPr>
        <w:widowControl w:val="0"/>
        <w:spacing w:line="240" w:lineRule="auto"/>
        <w:jc w:val="both"/>
        <w:rPr>
          <w:rFonts w:ascii="Times New Roman" w:hAnsi="Times New Roman" w:cs="Times New Roman"/>
          <w:bCs/>
          <w:sz w:val="24"/>
          <w:szCs w:val="24"/>
        </w:rPr>
      </w:pPr>
      <w:r>
        <w:rPr>
          <w:noProof/>
          <w:lang w:eastAsia="fr-FR"/>
        </w:rPr>
        <w:drawing>
          <wp:inline distT="0" distB="0" distL="0" distR="0">
            <wp:extent cx="2644140" cy="2154133"/>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652556" cy="2160990"/>
                    </a:xfrm>
                    <a:prstGeom prst="rect">
                      <a:avLst/>
                    </a:prstGeom>
                  </pic:spPr>
                </pic:pic>
              </a:graphicData>
            </a:graphic>
          </wp:inline>
        </w:drawing>
      </w:r>
    </w:p>
    <w:p w:rsidR="003F2BF8" w:rsidRDefault="003F2BF8" w:rsidP="007108E8">
      <w:pPr>
        <w:spacing w:line="240" w:lineRule="auto"/>
        <w:jc w:val="both"/>
        <w:rPr>
          <w:rFonts w:ascii="Times New Roman" w:hAnsi="Times New Roman" w:cs="Times New Roman"/>
          <w:sz w:val="24"/>
        </w:rPr>
      </w:pPr>
    </w:p>
    <w:p w:rsidR="00223971" w:rsidRDefault="00223971" w:rsidP="007108E8">
      <w:pPr>
        <w:spacing w:line="240" w:lineRule="auto"/>
        <w:jc w:val="both"/>
        <w:rPr>
          <w:rFonts w:ascii="Times New Roman" w:hAnsi="Times New Roman" w:cs="Times New Roman"/>
          <w:sz w:val="24"/>
        </w:rPr>
      </w:pPr>
    </w:p>
    <w:p w:rsidR="003F2BF8" w:rsidRDefault="003F2BF8" w:rsidP="007108E8">
      <w:pPr>
        <w:spacing w:line="240" w:lineRule="auto"/>
        <w:jc w:val="both"/>
        <w:rPr>
          <w:rFonts w:ascii="Times New Roman" w:hAnsi="Times New Roman" w:cs="Times New Roman"/>
          <w:b/>
          <w:color w:val="0000FF"/>
          <w:sz w:val="24"/>
        </w:rPr>
        <w:sectPr w:rsidR="003F2BF8" w:rsidSect="003F2BF8">
          <w:type w:val="continuous"/>
          <w:pgSz w:w="11906" w:h="16838"/>
          <w:pgMar w:top="1417" w:right="1417" w:bottom="1417" w:left="1417" w:header="708" w:footer="708" w:gutter="0"/>
          <w:cols w:num="2" w:space="708"/>
          <w:docGrid w:linePitch="360"/>
        </w:sectPr>
      </w:pPr>
    </w:p>
    <w:p w:rsidR="00685DE2" w:rsidRPr="007108E8" w:rsidRDefault="00D00BC6" w:rsidP="007108E8">
      <w:pPr>
        <w:spacing w:line="240" w:lineRule="auto"/>
        <w:jc w:val="both"/>
        <w:rPr>
          <w:rFonts w:ascii="Times New Roman" w:hAnsi="Times New Roman" w:cs="Times New Roman"/>
          <w:b/>
          <w:color w:val="0000FF"/>
          <w:sz w:val="24"/>
        </w:rPr>
      </w:pPr>
      <w:r>
        <w:rPr>
          <w:rFonts w:ascii="Times New Roman" w:hAnsi="Times New Roman" w:cs="Times New Roman"/>
          <w:b/>
          <w:noProof/>
          <w:color w:val="0000FF"/>
          <w:sz w:val="24"/>
        </w:rPr>
        <w:lastRenderedPageBreak/>
        <w:pict>
          <v:shape id="_x0000_s1039" type="#_x0000_t32" style="position:absolute;left:0;text-align:left;margin-left:58.15pt;margin-top:9.15pt;width:398.4pt;height:0;z-index:251668480" o:connectortype="straight" strokecolor="blue" strokeweight="1.5pt"/>
        </w:pict>
      </w:r>
      <w:r w:rsidR="00FA7286" w:rsidRPr="007108E8">
        <w:rPr>
          <w:rFonts w:ascii="Times New Roman" w:hAnsi="Times New Roman" w:cs="Times New Roman"/>
          <w:b/>
          <w:color w:val="0000FF"/>
          <w:sz w:val="24"/>
        </w:rPr>
        <w:t>Discussion</w:t>
      </w:r>
    </w:p>
    <w:p w:rsidR="003F2BF8" w:rsidRDefault="003F2BF8" w:rsidP="007108E8">
      <w:pPr>
        <w:spacing w:line="240" w:lineRule="auto"/>
        <w:jc w:val="both"/>
        <w:rPr>
          <w:rFonts w:ascii="Times New Roman" w:hAnsi="Times New Roman" w:cs="Times New Roman"/>
          <w:sz w:val="24"/>
        </w:rPr>
        <w:sectPr w:rsidR="003F2BF8" w:rsidSect="003F2BF8">
          <w:type w:val="continuous"/>
          <w:pgSz w:w="11906" w:h="16838"/>
          <w:pgMar w:top="1417" w:right="1417" w:bottom="1417" w:left="1417" w:header="708" w:footer="708" w:gutter="0"/>
          <w:cols w:space="708"/>
          <w:docGrid w:linePitch="360"/>
        </w:sectPr>
      </w:pPr>
    </w:p>
    <w:p w:rsidR="003F2BF8" w:rsidRPr="00525449" w:rsidRDefault="00525449" w:rsidP="00525449">
      <w:pPr>
        <w:spacing w:line="240" w:lineRule="auto"/>
        <w:ind w:left="142"/>
        <w:jc w:val="both"/>
        <w:rPr>
          <w:rFonts w:ascii="Times New Roman" w:hAnsi="Times New Roman" w:cs="Times New Roman"/>
          <w:bCs/>
          <w:sz w:val="24"/>
          <w:szCs w:val="24"/>
        </w:rPr>
        <w:sectPr w:rsidR="003F2BF8" w:rsidRPr="00525449" w:rsidSect="003F2BF8">
          <w:type w:val="continuous"/>
          <w:pgSz w:w="11906" w:h="16838"/>
          <w:pgMar w:top="1417" w:right="1417" w:bottom="1417" w:left="1417" w:header="708" w:footer="708" w:gutter="0"/>
          <w:cols w:num="2" w:space="708"/>
          <w:docGrid w:linePitch="360"/>
        </w:sectPr>
      </w:pPr>
      <w:r w:rsidRPr="00833EFF">
        <w:rPr>
          <w:rFonts w:ascii="Times New Roman" w:hAnsi="Times New Roman" w:cs="Times New Roman"/>
          <w:bCs/>
          <w:sz w:val="24"/>
          <w:szCs w:val="24"/>
        </w:rPr>
        <w:lastRenderedPageBreak/>
        <w:t>Dans ce travail, une moyenne de 8 cytoponctions par mois ont été recensé contre 20 aux USA</w:t>
      </w:r>
      <w:r>
        <w:rPr>
          <w:rFonts w:ascii="Times New Roman" w:hAnsi="Times New Roman" w:cs="Times New Roman"/>
          <w:bCs/>
          <w:sz w:val="24"/>
          <w:szCs w:val="24"/>
        </w:rPr>
        <w:t xml:space="preserve"> en 2006 (</w:t>
      </w:r>
      <w:r w:rsidRPr="00833EFF">
        <w:rPr>
          <w:rFonts w:ascii="Times New Roman" w:hAnsi="Times New Roman" w:cs="Times New Roman"/>
          <w:bCs/>
          <w:sz w:val="24"/>
          <w:szCs w:val="24"/>
        </w:rPr>
        <w:t>5</w:t>
      </w:r>
      <w:r>
        <w:rPr>
          <w:rFonts w:ascii="Times New Roman" w:hAnsi="Times New Roman" w:cs="Times New Roman"/>
          <w:bCs/>
          <w:sz w:val="24"/>
          <w:szCs w:val="24"/>
        </w:rPr>
        <w:t>)</w:t>
      </w:r>
      <w:r w:rsidRPr="00833EFF">
        <w:rPr>
          <w:rFonts w:ascii="Times New Roman" w:hAnsi="Times New Roman" w:cs="Times New Roman"/>
          <w:bCs/>
          <w:sz w:val="24"/>
          <w:szCs w:val="24"/>
        </w:rPr>
        <w:t xml:space="preserve">. La pratique n’est pas encore assez courante dans le laboratoire.  </w:t>
      </w:r>
      <w:r>
        <w:rPr>
          <w:rFonts w:ascii="Times New Roman" w:hAnsi="Times New Roman" w:cs="Times New Roman"/>
          <w:bCs/>
          <w:sz w:val="24"/>
          <w:szCs w:val="24"/>
        </w:rPr>
        <w:t xml:space="preserve">Les autres cytoponctions sont réalisées dans d’autres centres. </w:t>
      </w:r>
      <w:r w:rsidRPr="00833EFF">
        <w:rPr>
          <w:rFonts w:ascii="Times New Roman" w:hAnsi="Times New Roman" w:cs="Times New Roman"/>
          <w:bCs/>
          <w:sz w:val="24"/>
          <w:szCs w:val="24"/>
        </w:rPr>
        <w:t>L’âge moyen de cette étude est superposable à ceux de la littérature, se situant entre [40-4</w:t>
      </w:r>
      <w:r>
        <w:rPr>
          <w:rFonts w:ascii="Times New Roman" w:hAnsi="Times New Roman" w:cs="Times New Roman"/>
          <w:bCs/>
          <w:sz w:val="24"/>
          <w:szCs w:val="24"/>
        </w:rPr>
        <w:t>9] ans (</w:t>
      </w:r>
      <w:r w:rsidRPr="00833EFF">
        <w:rPr>
          <w:rFonts w:ascii="Times New Roman" w:hAnsi="Times New Roman" w:cs="Times New Roman"/>
          <w:bCs/>
          <w:sz w:val="24"/>
          <w:szCs w:val="24"/>
        </w:rPr>
        <w:t>6</w:t>
      </w:r>
      <w:r>
        <w:rPr>
          <w:rFonts w:ascii="Times New Roman" w:hAnsi="Times New Roman" w:cs="Times New Roman"/>
          <w:bCs/>
          <w:sz w:val="24"/>
          <w:szCs w:val="24"/>
        </w:rPr>
        <w:t>)</w:t>
      </w:r>
      <w:r w:rsidRPr="00833EFF">
        <w:rPr>
          <w:rFonts w:ascii="Times New Roman" w:hAnsi="Times New Roman" w:cs="Times New Roman"/>
          <w:bCs/>
          <w:sz w:val="24"/>
          <w:szCs w:val="24"/>
        </w:rPr>
        <w:t>. La corrélation âge et résultat, cette série a colligé 2 cas de lésion maligne (Bethesda VI) chez des jeunes âgés de 17 ans et 2 cas de lésion suspecte de malignité (Bethesda V) chez des sujets de 17 et 13 ans. Les nodules thyroïdiens chez l’enfant seraient plutôt en faveur d</w:t>
      </w:r>
      <w:r>
        <w:rPr>
          <w:rFonts w:ascii="Times New Roman" w:hAnsi="Times New Roman" w:cs="Times New Roman"/>
          <w:bCs/>
          <w:sz w:val="24"/>
          <w:szCs w:val="24"/>
        </w:rPr>
        <w:t>’un cancer de la thyroïde (</w:t>
      </w:r>
      <w:r w:rsidRPr="00833EFF">
        <w:rPr>
          <w:rFonts w:ascii="Times New Roman" w:hAnsi="Times New Roman" w:cs="Times New Roman"/>
          <w:bCs/>
          <w:sz w:val="24"/>
          <w:szCs w:val="24"/>
        </w:rPr>
        <w:t>7</w:t>
      </w:r>
      <w:r>
        <w:rPr>
          <w:rFonts w:ascii="Times New Roman" w:hAnsi="Times New Roman" w:cs="Times New Roman"/>
          <w:bCs/>
          <w:sz w:val="24"/>
          <w:szCs w:val="24"/>
        </w:rPr>
        <w:t>)</w:t>
      </w:r>
      <w:r w:rsidRPr="00833EFF">
        <w:rPr>
          <w:rFonts w:ascii="Times New Roman" w:hAnsi="Times New Roman" w:cs="Times New Roman"/>
          <w:bCs/>
          <w:sz w:val="24"/>
          <w:szCs w:val="24"/>
        </w:rPr>
        <w:t>.  Les âges extrêmes constituent un ri</w:t>
      </w:r>
      <w:r>
        <w:rPr>
          <w:rFonts w:ascii="Times New Roman" w:hAnsi="Times New Roman" w:cs="Times New Roman"/>
          <w:bCs/>
          <w:sz w:val="24"/>
          <w:szCs w:val="24"/>
        </w:rPr>
        <w:t>sque de malignité plus sévère (</w:t>
      </w:r>
      <w:r w:rsidRPr="00833EFF">
        <w:rPr>
          <w:rFonts w:ascii="Times New Roman" w:hAnsi="Times New Roman" w:cs="Times New Roman"/>
          <w:bCs/>
          <w:sz w:val="24"/>
          <w:szCs w:val="24"/>
        </w:rPr>
        <w:t>8</w:t>
      </w:r>
      <w:r>
        <w:rPr>
          <w:rFonts w:ascii="Times New Roman" w:hAnsi="Times New Roman" w:cs="Times New Roman"/>
          <w:bCs/>
          <w:sz w:val="24"/>
          <w:szCs w:val="24"/>
        </w:rPr>
        <w:t>)</w:t>
      </w:r>
      <w:r w:rsidRPr="00833EFF">
        <w:rPr>
          <w:rFonts w:ascii="Times New Roman" w:hAnsi="Times New Roman" w:cs="Times New Roman"/>
          <w:bCs/>
          <w:sz w:val="24"/>
          <w:szCs w:val="24"/>
        </w:rPr>
        <w:t>. Ce travail montre une prédominance des lésions malignes chez les sujets de 50 à 59 ans, proche de ce qui es</w:t>
      </w:r>
      <w:r>
        <w:rPr>
          <w:rFonts w:ascii="Times New Roman" w:hAnsi="Times New Roman" w:cs="Times New Roman"/>
          <w:bCs/>
          <w:sz w:val="24"/>
          <w:szCs w:val="24"/>
        </w:rPr>
        <w:t>t rapporté par la littérature (</w:t>
      </w:r>
      <w:r w:rsidRPr="00833EFF">
        <w:rPr>
          <w:rFonts w:ascii="Times New Roman" w:hAnsi="Times New Roman" w:cs="Times New Roman"/>
          <w:bCs/>
          <w:sz w:val="24"/>
          <w:szCs w:val="24"/>
        </w:rPr>
        <w:t>9</w:t>
      </w:r>
      <w:r>
        <w:rPr>
          <w:rFonts w:ascii="Times New Roman" w:hAnsi="Times New Roman" w:cs="Times New Roman"/>
          <w:bCs/>
          <w:sz w:val="24"/>
          <w:szCs w:val="24"/>
        </w:rPr>
        <w:t>)</w:t>
      </w:r>
      <w:r w:rsidRPr="00833EFF">
        <w:rPr>
          <w:rFonts w:ascii="Times New Roman" w:hAnsi="Times New Roman" w:cs="Times New Roman"/>
          <w:bCs/>
          <w:sz w:val="24"/>
          <w:szCs w:val="24"/>
        </w:rPr>
        <w:t xml:space="preserve">. Les résultats cytologiques classifiés « non interprétables » ou « non-diagnostiques » (Bethesda I) ont été de 29,1% (n = 146) </w:t>
      </w:r>
      <w:r w:rsidRPr="00833EFF">
        <w:rPr>
          <w:rFonts w:ascii="Times New Roman" w:hAnsi="Times New Roman" w:cs="Times New Roman"/>
          <w:bCs/>
          <w:sz w:val="24"/>
          <w:szCs w:val="24"/>
        </w:rPr>
        <w:lastRenderedPageBreak/>
        <w:t>dans ce travail, ce pourcentage correspond au pourcentage de cytoponction non diagnostique acceptable d’après le système de classification Bethesda 2010</w:t>
      </w:r>
      <w:r>
        <w:rPr>
          <w:rFonts w:ascii="Times New Roman" w:hAnsi="Times New Roman" w:cs="Times New Roman"/>
          <w:bCs/>
          <w:sz w:val="24"/>
          <w:szCs w:val="24"/>
        </w:rPr>
        <w:t xml:space="preserve"> (</w:t>
      </w:r>
      <w:r w:rsidRPr="00833EFF">
        <w:rPr>
          <w:rFonts w:ascii="Times New Roman" w:hAnsi="Times New Roman" w:cs="Times New Roman"/>
          <w:bCs/>
          <w:sz w:val="24"/>
          <w:szCs w:val="24"/>
        </w:rPr>
        <w:t>10</w:t>
      </w:r>
      <w:r>
        <w:rPr>
          <w:rFonts w:ascii="Times New Roman" w:hAnsi="Times New Roman" w:cs="Times New Roman"/>
          <w:bCs/>
          <w:sz w:val="24"/>
          <w:szCs w:val="24"/>
        </w:rPr>
        <w:t>)</w:t>
      </w:r>
      <w:r w:rsidRPr="00833EFF">
        <w:rPr>
          <w:rFonts w:ascii="Times New Roman" w:hAnsi="Times New Roman" w:cs="Times New Roman"/>
          <w:bCs/>
          <w:sz w:val="24"/>
          <w:szCs w:val="24"/>
        </w:rPr>
        <w:t>. La présence du Cytopathologiste directement sur place pendant la ponction permet la préparation de lames optimales et leur lecture quasi immédiate (ROSE = Rapid On-Site Evaluation), dimin</w:t>
      </w:r>
      <w:r>
        <w:rPr>
          <w:rFonts w:ascii="Times New Roman" w:hAnsi="Times New Roman" w:cs="Times New Roman"/>
          <w:bCs/>
          <w:sz w:val="24"/>
          <w:szCs w:val="24"/>
        </w:rPr>
        <w:t xml:space="preserve">uant les cas non diagnostiques. </w:t>
      </w:r>
      <w:r w:rsidRPr="00833EFF">
        <w:rPr>
          <w:rFonts w:ascii="Times New Roman" w:hAnsi="Times New Roman" w:cs="Times New Roman"/>
          <w:sz w:val="24"/>
          <w:szCs w:val="24"/>
        </w:rPr>
        <w:t>Concernant les résultats « Atypies de signification indéterminée », cette catégorie est choisie devant la présence de signes morphologiques douteux ne pouvant pas orienter vers une classification précise. Souvent considérée par les Cytopathologistes comme un vaste « fourre-tout ». Cette étude a colligé 128 cas soit 25% des résultats, qui est largement supérieur à ceux mentionnés dans la littérature, qui normalement ne doit pas excé</w:t>
      </w:r>
      <w:r>
        <w:rPr>
          <w:rFonts w:ascii="Times New Roman" w:hAnsi="Times New Roman" w:cs="Times New Roman"/>
          <w:sz w:val="24"/>
          <w:szCs w:val="24"/>
        </w:rPr>
        <w:t>der 7% des ponctions réalisées (</w:t>
      </w:r>
      <w:r w:rsidRPr="00833EFF">
        <w:rPr>
          <w:rFonts w:ascii="Times New Roman" w:hAnsi="Times New Roman" w:cs="Times New Roman"/>
          <w:sz w:val="24"/>
          <w:szCs w:val="24"/>
        </w:rPr>
        <w:t>11</w:t>
      </w:r>
      <w:r>
        <w:rPr>
          <w:rFonts w:ascii="Times New Roman" w:hAnsi="Times New Roman" w:cs="Times New Roman"/>
          <w:sz w:val="24"/>
          <w:szCs w:val="24"/>
        </w:rPr>
        <w:t>)</w:t>
      </w:r>
      <w:r w:rsidRPr="00833EFF">
        <w:rPr>
          <w:rFonts w:ascii="Times New Roman" w:hAnsi="Times New Roman" w:cs="Times New Roman"/>
          <w:sz w:val="24"/>
          <w:szCs w:val="24"/>
        </w:rPr>
        <w:t xml:space="preserve">. La catégorie « atypies de signification indéterminée » est d’interprétation difficile : il s’agit de </w:t>
      </w:r>
      <w:r w:rsidRPr="00833EFF">
        <w:rPr>
          <w:rFonts w:ascii="Times New Roman" w:hAnsi="Times New Roman" w:cs="Times New Roman"/>
          <w:sz w:val="24"/>
          <w:szCs w:val="24"/>
        </w:rPr>
        <w:lastRenderedPageBreak/>
        <w:t xml:space="preserve">lésions vésiculaires évidentes avec des aspects morphologiques rassurants comme la présence de colloïde, d’amas lâches…) mais qui présentent quelques signes d’atypies cytonucléaires, comme, une cellularité trop élevée, quelques noyaux déformés ou incisurés. La présence d’atypies cytonucléaires modérées, est un aspect intermédiaire entre une lésion bénigne et une lésion suspecte. Ces constatations sont </w:t>
      </w:r>
      <w:r w:rsidRPr="00833EFF">
        <w:rPr>
          <w:rFonts w:ascii="Times New Roman" w:hAnsi="Times New Roman" w:cs="Times New Roman"/>
          <w:sz w:val="24"/>
          <w:szCs w:val="24"/>
        </w:rPr>
        <w:lastRenderedPageBreak/>
        <w:t xml:space="preserve">discordantes ou insuffisantes pour affirmer la malignité, incitant à faire classer une lésion dans cette catégorie </w:t>
      </w:r>
      <w:r w:rsidR="00484ECA" w:rsidRPr="00833EFF">
        <w:rPr>
          <w:rFonts w:ascii="Times New Roman" w:hAnsi="Times New Roman" w:cs="Times New Roman"/>
          <w:sz w:val="24"/>
          <w:szCs w:val="24"/>
        </w:rPr>
        <w:fldChar w:fldCharType="begin"/>
      </w:r>
      <w:r w:rsidRPr="00833EFF">
        <w:rPr>
          <w:rFonts w:ascii="Times New Roman" w:hAnsi="Times New Roman" w:cs="Times New Roman"/>
          <w:sz w:val="24"/>
          <w:szCs w:val="24"/>
        </w:rPr>
        <w:instrText xml:space="preserve"> ADDIN ZOTERO_ITEM CSL_CITATION {"citationID":"m8gl0BYH","properties":{"formattedCitation":"[113]","plainCitation":"[113]","noteIndex":0},"citationItems":[{"id":"QaV5Bq67/51nDDnqE","uris":["http://zotero.org/users/local/ivZoS0gS/items/A2CRFDMI",["http://zotero.org/users/local/ivZoS0gS/items/A2CRFDMI"]],"itemData":{"id":247,"type":"book","title":"Prise en charge pratique et diagnostique des prélèvements thyroïdiens cytoponctions, extemporanés, pièces opératoires. 6 et 7 octobre 2011.","author":[{"family":"Belleannée G, Trouette H, Mascarel A. EPU Bordeaux","given":""}]}}],"schema":"https://github.com/citation-style-language/schema/raw/master/csl-citation.json"} </w:instrText>
      </w:r>
      <w:r w:rsidR="00484ECA" w:rsidRPr="00833EFF">
        <w:rPr>
          <w:rFonts w:ascii="Times New Roman" w:hAnsi="Times New Roman" w:cs="Times New Roman"/>
          <w:sz w:val="24"/>
          <w:szCs w:val="24"/>
        </w:rPr>
        <w:fldChar w:fldCharType="separate"/>
      </w:r>
      <w:r>
        <w:rPr>
          <w:rFonts w:ascii="Times New Roman" w:hAnsi="Times New Roman" w:cs="Times New Roman"/>
          <w:sz w:val="24"/>
          <w:szCs w:val="24"/>
        </w:rPr>
        <w:t>(</w:t>
      </w:r>
      <w:r w:rsidRPr="00833EFF">
        <w:rPr>
          <w:rFonts w:ascii="Times New Roman" w:hAnsi="Times New Roman" w:cs="Times New Roman"/>
          <w:sz w:val="24"/>
          <w:szCs w:val="24"/>
        </w:rPr>
        <w:t>12</w:t>
      </w:r>
      <w:r w:rsidR="00484ECA" w:rsidRPr="00833EFF">
        <w:rPr>
          <w:rFonts w:ascii="Times New Roman" w:hAnsi="Times New Roman" w:cs="Times New Roman"/>
          <w:sz w:val="24"/>
          <w:szCs w:val="24"/>
        </w:rPr>
        <w:fldChar w:fldCharType="end"/>
      </w:r>
      <w:r>
        <w:rPr>
          <w:rFonts w:ascii="Times New Roman" w:hAnsi="Times New Roman" w:cs="Times New Roman"/>
          <w:sz w:val="24"/>
          <w:szCs w:val="24"/>
        </w:rPr>
        <w:t>)</w:t>
      </w:r>
      <w:r w:rsidRPr="00833EFF">
        <w:rPr>
          <w:rFonts w:ascii="Times New Roman" w:hAnsi="Times New Roman" w:cs="Times New Roman"/>
          <w:sz w:val="24"/>
          <w:szCs w:val="24"/>
        </w:rPr>
        <w:t>. Il est recommandé, après corrélation avec les données ultrasonographiques et cliniques, de répéter la cytoponction. Dans la plupart des cas, la nouvelle cytoponction permettra de reclasser ces nodules d</w:t>
      </w:r>
      <w:r>
        <w:rPr>
          <w:rFonts w:ascii="Times New Roman" w:hAnsi="Times New Roman" w:cs="Times New Roman"/>
          <w:sz w:val="24"/>
          <w:szCs w:val="24"/>
        </w:rPr>
        <w:t>ans une catégorie plus précise (</w:t>
      </w:r>
      <w:r w:rsidRPr="00833EFF">
        <w:rPr>
          <w:rFonts w:ascii="Times New Roman" w:hAnsi="Times New Roman" w:cs="Times New Roman"/>
          <w:sz w:val="24"/>
          <w:szCs w:val="24"/>
        </w:rPr>
        <w:t>11</w:t>
      </w:r>
      <w:r>
        <w:rPr>
          <w:rFonts w:ascii="Times New Roman" w:hAnsi="Times New Roman" w:cs="Times New Roman"/>
          <w:sz w:val="24"/>
          <w:szCs w:val="24"/>
        </w:rPr>
        <w:t>)</w:t>
      </w:r>
      <w:r w:rsidRPr="00833EFF">
        <w:rPr>
          <w:rFonts w:ascii="Times New Roman" w:hAnsi="Times New Roman" w:cs="Times New Roman"/>
          <w:sz w:val="24"/>
          <w:szCs w:val="24"/>
        </w:rPr>
        <w:t>.</w:t>
      </w:r>
    </w:p>
    <w:p w:rsidR="00316FD4" w:rsidRDefault="00316FD4" w:rsidP="007108E8">
      <w:pPr>
        <w:spacing w:line="240" w:lineRule="auto"/>
        <w:jc w:val="both"/>
        <w:rPr>
          <w:rFonts w:ascii="Times New Roman" w:hAnsi="Times New Roman" w:cs="Times New Roman"/>
          <w:b/>
          <w:sz w:val="24"/>
        </w:rPr>
      </w:pPr>
    </w:p>
    <w:p w:rsidR="00685DE2" w:rsidRPr="007108E8" w:rsidRDefault="00D00BC6" w:rsidP="007108E8">
      <w:pPr>
        <w:spacing w:line="240" w:lineRule="auto"/>
        <w:jc w:val="both"/>
        <w:rPr>
          <w:rFonts w:ascii="Times New Roman" w:hAnsi="Times New Roman" w:cs="Times New Roman"/>
          <w:b/>
          <w:color w:val="0000FF"/>
          <w:sz w:val="24"/>
        </w:rPr>
      </w:pPr>
      <w:r>
        <w:rPr>
          <w:rFonts w:ascii="Times New Roman" w:hAnsi="Times New Roman" w:cs="Times New Roman"/>
          <w:b/>
          <w:noProof/>
          <w:color w:val="0000FF"/>
          <w:sz w:val="24"/>
        </w:rPr>
        <w:pict>
          <v:shape id="_x0000_s1040" type="#_x0000_t32" style="position:absolute;left:0;text-align:left;margin-left:59.95pt;margin-top:7.95pt;width:392.4pt;height:0;z-index:251669504" o:connectortype="straight" strokecolor="blue" strokeweight="1.5pt"/>
        </w:pict>
      </w:r>
      <w:r w:rsidR="00685DE2" w:rsidRPr="007108E8">
        <w:rPr>
          <w:rFonts w:ascii="Times New Roman" w:hAnsi="Times New Roman" w:cs="Times New Roman"/>
          <w:b/>
          <w:color w:val="0000FF"/>
          <w:sz w:val="24"/>
        </w:rPr>
        <w:t>Conclusion</w:t>
      </w:r>
    </w:p>
    <w:p w:rsidR="00EE2901" w:rsidRPr="00833EFF" w:rsidRDefault="00EE2901" w:rsidP="00EE2901">
      <w:pPr>
        <w:autoSpaceDE w:val="0"/>
        <w:autoSpaceDN w:val="0"/>
        <w:adjustRightInd w:val="0"/>
        <w:spacing w:after="0" w:line="240" w:lineRule="auto"/>
        <w:jc w:val="both"/>
        <w:rPr>
          <w:rFonts w:ascii="Times New Roman" w:hAnsi="Times New Roman" w:cs="Times New Roman"/>
          <w:color w:val="0A0A0A"/>
          <w:sz w:val="24"/>
          <w:szCs w:val="24"/>
          <w:shd w:val="clear" w:color="auto" w:fill="FFFFFF"/>
        </w:rPr>
      </w:pPr>
      <w:r w:rsidRPr="00833EFF">
        <w:rPr>
          <w:rFonts w:ascii="Times New Roman" w:hAnsi="Times New Roman" w:cs="Times New Roman"/>
          <w:sz w:val="24"/>
          <w:szCs w:val="24"/>
        </w:rPr>
        <w:t xml:space="preserve">La pratique de cytoponction thyroïdienne n’est pas encore assez courante. C’est un examen qui a </w:t>
      </w:r>
      <w:r w:rsidRPr="00833EFF">
        <w:rPr>
          <w:rFonts w:ascii="Times New Roman" w:hAnsi="Times New Roman" w:cs="Times New Roman"/>
          <w:color w:val="0A0A0A"/>
          <w:sz w:val="24"/>
          <w:szCs w:val="24"/>
          <w:shd w:val="clear" w:color="auto" w:fill="FFFFFF"/>
        </w:rPr>
        <w:t>été réalisée chez des femmes adultes, avec une prédominance des résultats dans lescatégories « Non diagnostique » et « Atypies de signification indéterminée ».</w:t>
      </w:r>
    </w:p>
    <w:p w:rsidR="00B23BC7" w:rsidRPr="009E7A19" w:rsidRDefault="00D00BC6" w:rsidP="009E7A19">
      <w:pPr>
        <w:spacing w:line="240" w:lineRule="auto"/>
        <w:jc w:val="both"/>
        <w:rPr>
          <w:rFonts w:ascii="Times New Roman" w:hAnsi="Times New Roman" w:cs="Times New Roman"/>
          <w:b/>
          <w:color w:val="0000FF"/>
          <w:sz w:val="24"/>
        </w:rPr>
      </w:pPr>
      <w:r>
        <w:rPr>
          <w:rFonts w:ascii="Times New Roman" w:hAnsi="Times New Roman" w:cs="Times New Roman"/>
          <w:b/>
          <w:noProof/>
          <w:color w:val="0000FF"/>
          <w:sz w:val="24"/>
        </w:rPr>
        <w:pict>
          <v:shape id="_x0000_s1041" type="#_x0000_t32" style="position:absolute;left:0;text-align:left;margin-left:59.35pt;margin-top:7.8pt;width:395.4pt;height:0;z-index:251670528" o:connectortype="straight" strokecolor="blue" strokeweight="1.5pt"/>
        </w:pict>
      </w:r>
      <w:r w:rsidR="00902E15" w:rsidRPr="007108E8">
        <w:rPr>
          <w:rFonts w:ascii="Times New Roman" w:hAnsi="Times New Roman" w:cs="Times New Roman"/>
          <w:b/>
          <w:color w:val="0000FF"/>
          <w:sz w:val="24"/>
        </w:rPr>
        <w:t>Références</w:t>
      </w:r>
    </w:p>
    <w:p w:rsidR="00EE2901" w:rsidRPr="007543EB" w:rsidRDefault="00484ECA" w:rsidP="00EE2901">
      <w:pPr>
        <w:pStyle w:val="Paragraphedeliste"/>
        <w:numPr>
          <w:ilvl w:val="0"/>
          <w:numId w:val="2"/>
        </w:numPr>
        <w:autoSpaceDE w:val="0"/>
        <w:autoSpaceDN w:val="0"/>
        <w:adjustRightInd w:val="0"/>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fldChar w:fldCharType="begin"/>
      </w:r>
      <w:r w:rsidR="00B23BC7">
        <w:rPr>
          <w:rFonts w:ascii="Times New Roman" w:hAnsi="Times New Roman" w:cs="Times New Roman"/>
          <w:sz w:val="24"/>
          <w:szCs w:val="24"/>
        </w:rPr>
        <w:instrText xml:space="preserve"> ADDIN ZOTERO_BIBL {"uncited":[],"omitted":[],"custom":[]} CSL_BIBLIOGRAPHY </w:instrText>
      </w:r>
      <w:r>
        <w:rPr>
          <w:rFonts w:ascii="Times New Roman" w:hAnsi="Times New Roman" w:cs="Times New Roman"/>
          <w:sz w:val="24"/>
          <w:szCs w:val="24"/>
        </w:rPr>
        <w:fldChar w:fldCharType="separate"/>
      </w:r>
      <w:r w:rsidR="00B23BC7">
        <w:rPr>
          <w:rFonts w:ascii="Times New Roman" w:hAnsi="Times New Roman" w:cs="Times New Roman"/>
          <w:sz w:val="24"/>
          <w:szCs w:val="24"/>
        </w:rPr>
        <w:t>Chays A, Labrousse M, Bazin A, P</w:t>
      </w:r>
      <w:r w:rsidR="00EE2901" w:rsidRPr="00833EFF">
        <w:rPr>
          <w:rFonts w:ascii="Times New Roman" w:hAnsi="Times New Roman" w:cs="Times New Roman"/>
          <w:sz w:val="24"/>
          <w:szCs w:val="24"/>
        </w:rPr>
        <w:t xml:space="preserve">Leenhardt L. Conduite à tenir devant un nodule thyroïdien. </w:t>
      </w:r>
      <w:r w:rsidR="007543EB">
        <w:rPr>
          <w:rFonts w:ascii="Times New Roman" w:hAnsi="Times New Roman" w:cs="Times New Roman"/>
          <w:sz w:val="24"/>
          <w:szCs w:val="24"/>
          <w:lang w:val="en-US"/>
        </w:rPr>
        <w:t>J Radiol. Mars 2009</w:t>
      </w:r>
      <w:r w:rsidR="00EE2901" w:rsidRPr="00833EFF">
        <w:rPr>
          <w:rFonts w:ascii="Times New Roman" w:hAnsi="Times New Roman" w:cs="Times New Roman"/>
          <w:sz w:val="24"/>
          <w:szCs w:val="24"/>
          <w:lang w:val="en-US"/>
        </w:rPr>
        <w:t>;</w:t>
      </w:r>
      <w:r w:rsidR="007543EB">
        <w:rPr>
          <w:rFonts w:ascii="Times New Roman" w:hAnsi="Times New Roman" w:cs="Times New Roman"/>
          <w:sz w:val="24"/>
          <w:szCs w:val="24"/>
          <w:lang w:val="en-US"/>
        </w:rPr>
        <w:t>90(3):</w:t>
      </w:r>
      <w:r w:rsidR="00EE2901" w:rsidRPr="00833EFF">
        <w:rPr>
          <w:rFonts w:ascii="Times New Roman" w:hAnsi="Times New Roman" w:cs="Times New Roman"/>
          <w:sz w:val="24"/>
          <w:szCs w:val="24"/>
          <w:lang w:val="en-US"/>
        </w:rPr>
        <w:t xml:space="preserve">354‑8. </w:t>
      </w:r>
    </w:p>
    <w:p w:rsidR="007543EB" w:rsidRPr="00833EFF" w:rsidRDefault="007543EB" w:rsidP="007543EB">
      <w:pPr>
        <w:pStyle w:val="Paragraphedeliste"/>
        <w:autoSpaceDE w:val="0"/>
        <w:autoSpaceDN w:val="0"/>
        <w:adjustRightInd w:val="0"/>
        <w:spacing w:after="0" w:line="240" w:lineRule="auto"/>
        <w:ind w:left="360" w:right="-1"/>
        <w:jc w:val="both"/>
        <w:rPr>
          <w:rFonts w:ascii="Times New Roman" w:hAnsi="Times New Roman" w:cs="Times New Roman"/>
          <w:sz w:val="24"/>
          <w:szCs w:val="24"/>
        </w:rPr>
      </w:pPr>
    </w:p>
    <w:p w:rsidR="00EE2901" w:rsidRPr="00833EFF" w:rsidRDefault="00EE2901" w:rsidP="00EE2901">
      <w:pPr>
        <w:pStyle w:val="Bibliographie"/>
        <w:numPr>
          <w:ilvl w:val="0"/>
          <w:numId w:val="2"/>
        </w:numPr>
        <w:spacing w:line="240" w:lineRule="auto"/>
        <w:jc w:val="both"/>
        <w:rPr>
          <w:rFonts w:ascii="Times New Roman" w:hAnsi="Times New Roman" w:cs="Times New Roman"/>
          <w:sz w:val="24"/>
          <w:szCs w:val="24"/>
        </w:rPr>
      </w:pPr>
      <w:r w:rsidRPr="00833EFF">
        <w:rPr>
          <w:rFonts w:ascii="Times New Roman" w:hAnsi="Times New Roman" w:cs="Times New Roman"/>
          <w:sz w:val="24"/>
          <w:szCs w:val="24"/>
          <w:lang w:val="en-US"/>
        </w:rPr>
        <w:t>Gharib H. Fine-Needle A</w:t>
      </w:r>
      <w:r w:rsidR="007543EB">
        <w:rPr>
          <w:rFonts w:ascii="Times New Roman" w:hAnsi="Times New Roman" w:cs="Times New Roman"/>
          <w:sz w:val="24"/>
          <w:szCs w:val="24"/>
          <w:lang w:val="en-US"/>
        </w:rPr>
        <w:t>spiration Biopsy of the Thyroid</w:t>
      </w:r>
      <w:r w:rsidRPr="00833EFF">
        <w:rPr>
          <w:rFonts w:ascii="Times New Roman" w:hAnsi="Times New Roman" w:cs="Times New Roman"/>
          <w:sz w:val="24"/>
          <w:szCs w:val="24"/>
          <w:lang w:val="en-US"/>
        </w:rPr>
        <w:t xml:space="preserve">: An Appraisal. </w:t>
      </w:r>
      <w:r w:rsidRPr="00833EFF">
        <w:rPr>
          <w:rFonts w:ascii="Times New Roman" w:hAnsi="Times New Roman" w:cs="Times New Roman"/>
          <w:sz w:val="24"/>
          <w:szCs w:val="24"/>
        </w:rPr>
        <w:t>Ann</w:t>
      </w:r>
      <w:r w:rsidR="007543EB">
        <w:rPr>
          <w:rFonts w:ascii="Times New Roman" w:hAnsi="Times New Roman" w:cs="Times New Roman"/>
          <w:sz w:val="24"/>
          <w:szCs w:val="24"/>
        </w:rPr>
        <w:t xml:space="preserve"> Intern Med. Févr 1993 ;118(4):</w:t>
      </w:r>
      <w:r w:rsidRPr="00833EFF">
        <w:rPr>
          <w:rFonts w:ascii="Times New Roman" w:hAnsi="Times New Roman" w:cs="Times New Roman"/>
          <w:sz w:val="24"/>
          <w:szCs w:val="24"/>
        </w:rPr>
        <w:t xml:space="preserve">282. </w:t>
      </w:r>
    </w:p>
    <w:p w:rsidR="00EE2901" w:rsidRDefault="00EE2901" w:rsidP="007543EB">
      <w:pPr>
        <w:pStyle w:val="Paragraphedeliste"/>
        <w:numPr>
          <w:ilvl w:val="0"/>
          <w:numId w:val="2"/>
        </w:numPr>
        <w:autoSpaceDE w:val="0"/>
        <w:autoSpaceDN w:val="0"/>
        <w:adjustRightInd w:val="0"/>
        <w:spacing w:after="0" w:line="240" w:lineRule="auto"/>
        <w:ind w:right="-1"/>
        <w:jc w:val="both"/>
        <w:rPr>
          <w:rFonts w:ascii="Times New Roman" w:hAnsi="Times New Roman" w:cs="Times New Roman"/>
          <w:sz w:val="24"/>
          <w:szCs w:val="24"/>
        </w:rPr>
      </w:pPr>
      <w:r w:rsidRPr="00833EFF">
        <w:rPr>
          <w:rFonts w:ascii="Times New Roman" w:hAnsi="Times New Roman" w:cs="Times New Roman"/>
          <w:sz w:val="24"/>
          <w:szCs w:val="24"/>
        </w:rPr>
        <w:t xml:space="preserve">Ranjandriarison L. Apport de la cytoponction dans la chirurgie des nodules thyroïdiens [Thèse]. Médecine humaine : </w:t>
      </w:r>
      <w:r w:rsidR="007543EB" w:rsidRPr="00833EFF">
        <w:rPr>
          <w:rFonts w:ascii="Times New Roman" w:hAnsi="Times New Roman" w:cs="Times New Roman"/>
          <w:sz w:val="24"/>
          <w:szCs w:val="24"/>
        </w:rPr>
        <w:t>Antananari</w:t>
      </w:r>
      <w:r w:rsidR="007543EB">
        <w:rPr>
          <w:rFonts w:ascii="Times New Roman" w:hAnsi="Times New Roman" w:cs="Times New Roman"/>
          <w:sz w:val="24"/>
          <w:szCs w:val="24"/>
        </w:rPr>
        <w:t>vo;2015:</w:t>
      </w:r>
      <w:r w:rsidRPr="00833EFF">
        <w:rPr>
          <w:rFonts w:ascii="Times New Roman" w:hAnsi="Times New Roman" w:cs="Times New Roman"/>
          <w:sz w:val="24"/>
          <w:szCs w:val="24"/>
        </w:rPr>
        <w:t>39.</w:t>
      </w:r>
    </w:p>
    <w:p w:rsidR="007543EB" w:rsidRPr="00833EFF" w:rsidRDefault="007543EB" w:rsidP="007543EB">
      <w:pPr>
        <w:pStyle w:val="Paragraphedeliste"/>
        <w:autoSpaceDE w:val="0"/>
        <w:autoSpaceDN w:val="0"/>
        <w:adjustRightInd w:val="0"/>
        <w:spacing w:after="0" w:line="240" w:lineRule="auto"/>
        <w:ind w:left="360" w:right="-1"/>
        <w:jc w:val="both"/>
        <w:rPr>
          <w:rFonts w:ascii="Times New Roman" w:hAnsi="Times New Roman" w:cs="Times New Roman"/>
          <w:sz w:val="24"/>
          <w:szCs w:val="24"/>
        </w:rPr>
      </w:pPr>
    </w:p>
    <w:p w:rsidR="00EE2901" w:rsidRDefault="00EE2901" w:rsidP="007543EB">
      <w:pPr>
        <w:pStyle w:val="Paragraphedeliste"/>
        <w:numPr>
          <w:ilvl w:val="0"/>
          <w:numId w:val="2"/>
        </w:numPr>
        <w:autoSpaceDE w:val="0"/>
        <w:autoSpaceDN w:val="0"/>
        <w:adjustRightInd w:val="0"/>
        <w:spacing w:after="0" w:line="240" w:lineRule="auto"/>
        <w:ind w:right="-1"/>
        <w:jc w:val="both"/>
        <w:rPr>
          <w:rFonts w:ascii="Times New Roman" w:hAnsi="Times New Roman" w:cs="Times New Roman"/>
          <w:sz w:val="24"/>
          <w:szCs w:val="24"/>
        </w:rPr>
      </w:pPr>
      <w:r w:rsidRPr="00833EFF">
        <w:rPr>
          <w:rFonts w:ascii="Times New Roman" w:hAnsi="Times New Roman" w:cs="Times New Roman"/>
          <w:sz w:val="24"/>
          <w:szCs w:val="24"/>
          <w:lang w:val="en-US"/>
        </w:rPr>
        <w:t xml:space="preserve">Ashcraft M, Van Herle A. Management of thyroid nodules. II: Scanning techniques, thyroid suppressive therapy, and fine needle aspiration. </w:t>
      </w:r>
      <w:r w:rsidR="007543EB">
        <w:rPr>
          <w:rFonts w:ascii="Times New Roman" w:hAnsi="Times New Roman" w:cs="Times New Roman"/>
          <w:sz w:val="24"/>
          <w:szCs w:val="24"/>
        </w:rPr>
        <w:t>Head Neck Surg. Mars 1981;3(4):</w:t>
      </w:r>
      <w:r w:rsidRPr="00833EFF">
        <w:rPr>
          <w:rFonts w:ascii="Times New Roman" w:hAnsi="Times New Roman" w:cs="Times New Roman"/>
          <w:sz w:val="24"/>
          <w:szCs w:val="24"/>
        </w:rPr>
        <w:t>297‑322.</w:t>
      </w:r>
    </w:p>
    <w:p w:rsidR="007543EB" w:rsidRPr="007543EB" w:rsidRDefault="007543EB" w:rsidP="007543EB">
      <w:pPr>
        <w:autoSpaceDE w:val="0"/>
        <w:autoSpaceDN w:val="0"/>
        <w:adjustRightInd w:val="0"/>
        <w:spacing w:after="0" w:line="240" w:lineRule="auto"/>
        <w:ind w:right="-1"/>
        <w:jc w:val="both"/>
        <w:rPr>
          <w:rFonts w:ascii="Times New Roman" w:hAnsi="Times New Roman" w:cs="Times New Roman"/>
          <w:sz w:val="24"/>
          <w:szCs w:val="24"/>
        </w:rPr>
      </w:pPr>
    </w:p>
    <w:p w:rsidR="007543EB" w:rsidRPr="007543EB" w:rsidRDefault="00EE2901" w:rsidP="007543EB">
      <w:pPr>
        <w:pStyle w:val="Paragraphedeliste"/>
        <w:widowControl w:val="0"/>
        <w:numPr>
          <w:ilvl w:val="0"/>
          <w:numId w:val="2"/>
        </w:numPr>
        <w:spacing w:line="240" w:lineRule="auto"/>
        <w:jc w:val="both"/>
        <w:rPr>
          <w:rFonts w:ascii="Times New Roman" w:hAnsi="Times New Roman" w:cs="Times New Roman"/>
          <w:sz w:val="24"/>
          <w:szCs w:val="24"/>
        </w:rPr>
      </w:pPr>
      <w:r w:rsidRPr="00833EFF">
        <w:rPr>
          <w:rFonts w:ascii="Times New Roman" w:hAnsi="Times New Roman" w:cs="Times New Roman"/>
          <w:sz w:val="24"/>
          <w:szCs w:val="24"/>
          <w:shd w:val="clear" w:color="auto" w:fill="FFFFFF"/>
        </w:rPr>
        <w:t xml:space="preserve">Frates MC, Benson CB, Doubilet PM, Kunreuther E, Contreras M, Cibas ES, and al. Prevalence and distribution of carcinoma in patients with solitary and multiple thyroid nodules on sonography. J </w:t>
      </w:r>
      <w:r w:rsidR="007543EB">
        <w:rPr>
          <w:rFonts w:ascii="Times New Roman" w:hAnsi="Times New Roman" w:cs="Times New Roman"/>
          <w:sz w:val="24"/>
          <w:szCs w:val="24"/>
          <w:shd w:val="clear" w:color="auto" w:fill="FFFFFF"/>
        </w:rPr>
        <w:t>Clin Endocrinol Metab. 2006 Sep;91(9):</w:t>
      </w:r>
      <w:r w:rsidRPr="00833EFF">
        <w:rPr>
          <w:rFonts w:ascii="Times New Roman" w:hAnsi="Times New Roman" w:cs="Times New Roman"/>
          <w:sz w:val="24"/>
          <w:szCs w:val="24"/>
          <w:shd w:val="clear" w:color="auto" w:fill="FFFFFF"/>
        </w:rPr>
        <w:t>3411-7.</w:t>
      </w:r>
    </w:p>
    <w:p w:rsidR="00EE2901" w:rsidRPr="007543EB" w:rsidRDefault="00EE2901" w:rsidP="007543EB">
      <w:pPr>
        <w:pStyle w:val="Paragraphedeliste"/>
        <w:widowControl w:val="0"/>
        <w:spacing w:line="240" w:lineRule="auto"/>
        <w:ind w:left="360"/>
        <w:jc w:val="both"/>
        <w:rPr>
          <w:rFonts w:ascii="Times New Roman" w:hAnsi="Times New Roman" w:cs="Times New Roman"/>
          <w:sz w:val="24"/>
          <w:szCs w:val="24"/>
        </w:rPr>
      </w:pPr>
      <w:r w:rsidRPr="007543EB">
        <w:rPr>
          <w:rFonts w:ascii="Times New Roman" w:hAnsi="Times New Roman" w:cs="Times New Roman"/>
          <w:sz w:val="24"/>
          <w:szCs w:val="24"/>
        </w:rPr>
        <w:t> </w:t>
      </w:r>
    </w:p>
    <w:p w:rsidR="00EE2901" w:rsidRPr="007543EB" w:rsidRDefault="00EE2901" w:rsidP="007543EB">
      <w:pPr>
        <w:pStyle w:val="Paragraphedeliste"/>
        <w:numPr>
          <w:ilvl w:val="0"/>
          <w:numId w:val="2"/>
        </w:numPr>
        <w:autoSpaceDE w:val="0"/>
        <w:autoSpaceDN w:val="0"/>
        <w:adjustRightInd w:val="0"/>
        <w:spacing w:after="0" w:line="240" w:lineRule="auto"/>
        <w:ind w:right="-1"/>
        <w:jc w:val="both"/>
        <w:rPr>
          <w:rFonts w:ascii="Times New Roman" w:hAnsi="Times New Roman" w:cs="Times New Roman"/>
          <w:sz w:val="24"/>
          <w:szCs w:val="24"/>
        </w:rPr>
      </w:pPr>
      <w:r w:rsidRPr="00833EFF">
        <w:rPr>
          <w:rFonts w:ascii="Times New Roman" w:hAnsi="Times New Roman" w:cs="Times New Roman"/>
          <w:sz w:val="24"/>
          <w:szCs w:val="24"/>
          <w:shd w:val="clear" w:color="auto" w:fill="FFFFFF"/>
        </w:rPr>
        <w:t>Sebastián-Ochoa N, Fernández-García JC, Mancha Doblas I, Sebastián-Ochoa A, Fernández García D, Ortega Jiménez MV, and al. Clinical experience in a high-resolution thyroid nodule cl</w:t>
      </w:r>
      <w:r w:rsidR="007543EB">
        <w:rPr>
          <w:rFonts w:ascii="Times New Roman" w:hAnsi="Times New Roman" w:cs="Times New Roman"/>
          <w:sz w:val="24"/>
          <w:szCs w:val="24"/>
          <w:shd w:val="clear" w:color="auto" w:fill="FFFFFF"/>
        </w:rPr>
        <w:t>inic. Endocrinol Nutr. 2011 Oct;</w:t>
      </w:r>
      <w:r w:rsidRPr="00833EFF">
        <w:rPr>
          <w:rFonts w:ascii="Times New Roman" w:hAnsi="Times New Roman" w:cs="Times New Roman"/>
          <w:sz w:val="24"/>
          <w:szCs w:val="24"/>
          <w:shd w:val="clear" w:color="auto" w:fill="FFFFFF"/>
        </w:rPr>
        <w:t>58(8 ):409-15. </w:t>
      </w:r>
    </w:p>
    <w:p w:rsidR="007543EB" w:rsidRPr="00833EFF" w:rsidRDefault="007543EB" w:rsidP="007543EB">
      <w:pPr>
        <w:pStyle w:val="Paragraphedeliste"/>
        <w:autoSpaceDE w:val="0"/>
        <w:autoSpaceDN w:val="0"/>
        <w:adjustRightInd w:val="0"/>
        <w:spacing w:after="0" w:line="240" w:lineRule="auto"/>
        <w:ind w:left="360" w:right="-1"/>
        <w:jc w:val="both"/>
        <w:rPr>
          <w:rFonts w:ascii="Times New Roman" w:hAnsi="Times New Roman" w:cs="Times New Roman"/>
          <w:sz w:val="24"/>
          <w:szCs w:val="24"/>
        </w:rPr>
      </w:pPr>
    </w:p>
    <w:p w:rsidR="00EE2901" w:rsidRPr="007543EB" w:rsidRDefault="00EE2901" w:rsidP="00EE2901">
      <w:pPr>
        <w:pStyle w:val="Paragraphedeliste"/>
        <w:numPr>
          <w:ilvl w:val="0"/>
          <w:numId w:val="2"/>
        </w:numPr>
        <w:autoSpaceDE w:val="0"/>
        <w:autoSpaceDN w:val="0"/>
        <w:adjustRightInd w:val="0"/>
        <w:spacing w:after="0" w:line="240" w:lineRule="auto"/>
        <w:ind w:right="-1"/>
        <w:jc w:val="both"/>
        <w:rPr>
          <w:rFonts w:ascii="Times New Roman" w:hAnsi="Times New Roman" w:cs="Times New Roman"/>
          <w:sz w:val="24"/>
          <w:szCs w:val="24"/>
        </w:rPr>
      </w:pPr>
      <w:r w:rsidRPr="00833EFF">
        <w:rPr>
          <w:rFonts w:ascii="Times New Roman" w:hAnsi="Times New Roman" w:cs="Times New Roman"/>
          <w:sz w:val="24"/>
          <w:szCs w:val="24"/>
          <w:shd w:val="clear" w:color="auto" w:fill="FFFFFF"/>
        </w:rPr>
        <w:t>Giuffrida D, Scollo C, Pellegriti G, Lavenia G, Iurato MP, Pezzin V, Belfiore A. Differentiated thyroid cancer in children and adolescents. J Endo</w:t>
      </w:r>
      <w:r>
        <w:rPr>
          <w:rFonts w:ascii="Times New Roman" w:hAnsi="Times New Roman" w:cs="Times New Roman"/>
          <w:sz w:val="24"/>
          <w:szCs w:val="24"/>
          <w:shd w:val="clear" w:color="auto" w:fill="FFFFFF"/>
        </w:rPr>
        <w:t>crinol Invest. 2002 Jan; 25(1):</w:t>
      </w:r>
      <w:r w:rsidRPr="00833EFF">
        <w:rPr>
          <w:rFonts w:ascii="Times New Roman" w:hAnsi="Times New Roman" w:cs="Times New Roman"/>
          <w:sz w:val="24"/>
          <w:szCs w:val="24"/>
          <w:shd w:val="clear" w:color="auto" w:fill="FFFFFF"/>
        </w:rPr>
        <w:t>18-24.</w:t>
      </w:r>
    </w:p>
    <w:p w:rsidR="007543EB" w:rsidRPr="007543EB" w:rsidRDefault="007543EB" w:rsidP="007543EB">
      <w:pPr>
        <w:autoSpaceDE w:val="0"/>
        <w:autoSpaceDN w:val="0"/>
        <w:adjustRightInd w:val="0"/>
        <w:spacing w:after="0" w:line="240" w:lineRule="auto"/>
        <w:ind w:right="-1"/>
        <w:jc w:val="both"/>
        <w:rPr>
          <w:rFonts w:ascii="Times New Roman" w:hAnsi="Times New Roman" w:cs="Times New Roman"/>
          <w:sz w:val="24"/>
          <w:szCs w:val="24"/>
        </w:rPr>
      </w:pPr>
    </w:p>
    <w:p w:rsidR="00EE2901" w:rsidRPr="00833EFF" w:rsidRDefault="00EE2901" w:rsidP="00EE2901">
      <w:pPr>
        <w:pStyle w:val="Paragraphedeliste"/>
        <w:numPr>
          <w:ilvl w:val="0"/>
          <w:numId w:val="2"/>
        </w:numPr>
        <w:autoSpaceDE w:val="0"/>
        <w:autoSpaceDN w:val="0"/>
        <w:adjustRightInd w:val="0"/>
        <w:spacing w:after="0" w:line="240" w:lineRule="auto"/>
        <w:ind w:right="-1"/>
        <w:jc w:val="both"/>
        <w:rPr>
          <w:rFonts w:ascii="Times New Roman" w:hAnsi="Times New Roman" w:cs="Times New Roman"/>
          <w:sz w:val="24"/>
          <w:szCs w:val="24"/>
        </w:rPr>
      </w:pPr>
      <w:r w:rsidRPr="00833EFF">
        <w:rPr>
          <w:rFonts w:ascii="Times New Roman" w:hAnsi="Times New Roman" w:cs="Times New Roman"/>
          <w:sz w:val="24"/>
          <w:szCs w:val="24"/>
          <w:shd w:val="clear" w:color="auto" w:fill="FFFFFF"/>
        </w:rPr>
        <w:t xml:space="preserve">Gatta G, Capocaccia R, De Angelis R, Stiller C, Coebergh JW; EUROCARE Working Group. Cancer survival in European adolescents and young adults. Eur J Cancer. 2003 </w:t>
      </w:r>
      <w:r>
        <w:rPr>
          <w:rFonts w:ascii="Times New Roman" w:hAnsi="Times New Roman" w:cs="Times New Roman"/>
          <w:sz w:val="24"/>
          <w:szCs w:val="24"/>
          <w:shd w:val="clear" w:color="auto" w:fill="FFFFFF"/>
        </w:rPr>
        <w:t>Dec ;39(18):</w:t>
      </w:r>
      <w:r w:rsidRPr="00833EFF">
        <w:rPr>
          <w:rFonts w:ascii="Times New Roman" w:hAnsi="Times New Roman" w:cs="Times New Roman"/>
          <w:sz w:val="24"/>
          <w:szCs w:val="24"/>
          <w:shd w:val="clear" w:color="auto" w:fill="FFFFFF"/>
        </w:rPr>
        <w:t>2600-10. </w:t>
      </w:r>
    </w:p>
    <w:p w:rsidR="00EE2901" w:rsidRPr="007543EB" w:rsidRDefault="00EE2901" w:rsidP="007543EB">
      <w:pPr>
        <w:pStyle w:val="Paragraphedeliste"/>
        <w:numPr>
          <w:ilvl w:val="0"/>
          <w:numId w:val="2"/>
        </w:numPr>
        <w:autoSpaceDE w:val="0"/>
        <w:autoSpaceDN w:val="0"/>
        <w:adjustRightInd w:val="0"/>
        <w:spacing w:after="0" w:line="240" w:lineRule="auto"/>
        <w:ind w:right="-1"/>
        <w:jc w:val="both"/>
        <w:rPr>
          <w:rFonts w:ascii="Times New Roman" w:hAnsi="Times New Roman" w:cs="Times New Roman"/>
          <w:sz w:val="24"/>
          <w:szCs w:val="24"/>
        </w:rPr>
      </w:pPr>
      <w:r w:rsidRPr="00833EFF">
        <w:rPr>
          <w:rFonts w:ascii="Times New Roman" w:hAnsi="Times New Roman" w:cs="Times New Roman"/>
          <w:sz w:val="24"/>
          <w:szCs w:val="24"/>
          <w:shd w:val="clear" w:color="auto" w:fill="FFFFFF"/>
        </w:rPr>
        <w:t xml:space="preserve">Espinosa De Ycaza AE, Lowe KM, Dean DS, Castro MR, Fatourechi V, Ryder M, Morris JC, Stan MN. Risk of Malignancy in Thyroid Nodules with Non-Diagnostic Fine-Needle Aspiration : A Retrospective </w:t>
      </w:r>
      <w:r>
        <w:rPr>
          <w:rFonts w:ascii="Times New Roman" w:hAnsi="Times New Roman" w:cs="Times New Roman"/>
          <w:sz w:val="24"/>
          <w:szCs w:val="24"/>
          <w:shd w:val="clear" w:color="auto" w:fill="FFFFFF"/>
        </w:rPr>
        <w:t>Cohort Study. Thyroid. 2016 Nov</w:t>
      </w:r>
      <w:r w:rsidR="007543EB">
        <w:rPr>
          <w:rFonts w:ascii="Times New Roman" w:hAnsi="Times New Roman" w:cs="Times New Roman"/>
          <w:sz w:val="24"/>
          <w:szCs w:val="24"/>
          <w:shd w:val="clear" w:color="auto" w:fill="FFFFFF"/>
        </w:rPr>
        <w:t>;</w:t>
      </w:r>
      <w:r w:rsidRPr="00833EFF">
        <w:rPr>
          <w:rFonts w:ascii="Times New Roman" w:hAnsi="Times New Roman" w:cs="Times New Roman"/>
          <w:sz w:val="24"/>
          <w:szCs w:val="24"/>
          <w:shd w:val="clear" w:color="auto" w:fill="FFFFFF"/>
        </w:rPr>
        <w:t>26(1</w:t>
      </w:r>
      <w:r>
        <w:rPr>
          <w:rFonts w:ascii="Times New Roman" w:hAnsi="Times New Roman" w:cs="Times New Roman"/>
          <w:sz w:val="24"/>
          <w:szCs w:val="24"/>
          <w:shd w:val="clear" w:color="auto" w:fill="FFFFFF"/>
        </w:rPr>
        <w:t>1):</w:t>
      </w:r>
      <w:r w:rsidRPr="00833EFF">
        <w:rPr>
          <w:rFonts w:ascii="Times New Roman" w:hAnsi="Times New Roman" w:cs="Times New Roman"/>
          <w:sz w:val="24"/>
          <w:szCs w:val="24"/>
          <w:shd w:val="clear" w:color="auto" w:fill="FFFFFF"/>
        </w:rPr>
        <w:t>1598-1604.</w:t>
      </w:r>
    </w:p>
    <w:p w:rsidR="007543EB" w:rsidRPr="00833EFF" w:rsidRDefault="007543EB" w:rsidP="007543EB">
      <w:pPr>
        <w:pStyle w:val="Paragraphedeliste"/>
        <w:autoSpaceDE w:val="0"/>
        <w:autoSpaceDN w:val="0"/>
        <w:adjustRightInd w:val="0"/>
        <w:spacing w:after="0" w:line="240" w:lineRule="auto"/>
        <w:ind w:left="360" w:right="-1"/>
        <w:jc w:val="both"/>
        <w:rPr>
          <w:rFonts w:ascii="Times New Roman" w:hAnsi="Times New Roman" w:cs="Times New Roman"/>
          <w:sz w:val="24"/>
          <w:szCs w:val="24"/>
        </w:rPr>
      </w:pPr>
    </w:p>
    <w:p w:rsidR="007543EB" w:rsidRDefault="00EE2901" w:rsidP="007543EB">
      <w:pPr>
        <w:pStyle w:val="Paragraphedeliste"/>
        <w:widowControl w:val="0"/>
        <w:numPr>
          <w:ilvl w:val="0"/>
          <w:numId w:val="2"/>
        </w:numPr>
        <w:spacing w:line="240" w:lineRule="auto"/>
        <w:jc w:val="both"/>
        <w:rPr>
          <w:rFonts w:ascii="Times New Roman" w:hAnsi="Times New Roman" w:cs="Times New Roman"/>
          <w:sz w:val="24"/>
          <w:szCs w:val="24"/>
        </w:rPr>
      </w:pPr>
      <w:r w:rsidRPr="00833EFF">
        <w:rPr>
          <w:rFonts w:ascii="Times New Roman" w:hAnsi="Times New Roman" w:cs="Times New Roman"/>
          <w:sz w:val="24"/>
          <w:szCs w:val="24"/>
        </w:rPr>
        <w:t>Mocrette G, Polivka M, El-Ouaret Y, Wassef M, Cochand-Priollet. Cytoponctions thyroïdiennes : évaluation de 3 années d’application de la terminologie d</w:t>
      </w:r>
      <w:r>
        <w:rPr>
          <w:rFonts w:ascii="Times New Roman" w:hAnsi="Times New Roman" w:cs="Times New Roman"/>
          <w:sz w:val="24"/>
          <w:szCs w:val="24"/>
        </w:rPr>
        <w:t>e Bethesda. Ann Path. 2011;31(5):</w:t>
      </w:r>
      <w:r w:rsidRPr="00833EFF">
        <w:rPr>
          <w:rFonts w:ascii="Times New Roman" w:hAnsi="Times New Roman" w:cs="Times New Roman"/>
          <w:sz w:val="24"/>
          <w:szCs w:val="24"/>
        </w:rPr>
        <w:t>151.</w:t>
      </w:r>
    </w:p>
    <w:p w:rsidR="007543EB" w:rsidRPr="007543EB" w:rsidRDefault="007543EB" w:rsidP="007543EB">
      <w:pPr>
        <w:widowControl w:val="0"/>
        <w:spacing w:line="240" w:lineRule="auto"/>
        <w:jc w:val="both"/>
        <w:rPr>
          <w:rFonts w:ascii="Times New Roman" w:hAnsi="Times New Roman" w:cs="Times New Roman"/>
          <w:sz w:val="24"/>
          <w:szCs w:val="24"/>
        </w:rPr>
      </w:pPr>
    </w:p>
    <w:p w:rsidR="00EE2901" w:rsidRPr="00833EFF" w:rsidRDefault="00EE2901" w:rsidP="007543EB">
      <w:pPr>
        <w:pStyle w:val="Paragraphedeliste"/>
        <w:widowControl w:val="0"/>
        <w:numPr>
          <w:ilvl w:val="0"/>
          <w:numId w:val="2"/>
        </w:numPr>
        <w:spacing w:line="240" w:lineRule="auto"/>
        <w:jc w:val="both"/>
        <w:rPr>
          <w:rFonts w:ascii="Times New Roman" w:hAnsi="Times New Roman" w:cs="Times New Roman"/>
          <w:sz w:val="24"/>
          <w:szCs w:val="24"/>
        </w:rPr>
      </w:pPr>
      <w:r w:rsidRPr="00833EFF">
        <w:rPr>
          <w:rFonts w:ascii="Times New Roman" w:hAnsi="Times New Roman" w:cs="Times New Roman"/>
          <w:sz w:val="24"/>
          <w:szCs w:val="24"/>
        </w:rPr>
        <w:t> Beatrix C-P, Pinar F. Système de Bethesda pour les cytoponctions thyroïdiennes : étude comparative entre deux structures d’anatomie et cytologie pathologiques, turque et fra</w:t>
      </w:r>
      <w:r>
        <w:rPr>
          <w:rFonts w:ascii="Times New Roman" w:hAnsi="Times New Roman" w:cs="Times New Roman"/>
          <w:sz w:val="24"/>
          <w:szCs w:val="24"/>
        </w:rPr>
        <w:t>nçaise. Ann Path. 2012</w:t>
      </w:r>
      <w:r w:rsidR="007543EB">
        <w:rPr>
          <w:rFonts w:ascii="Times New Roman" w:hAnsi="Times New Roman" w:cs="Times New Roman"/>
          <w:sz w:val="24"/>
          <w:szCs w:val="24"/>
        </w:rPr>
        <w:t>;</w:t>
      </w:r>
      <w:r>
        <w:rPr>
          <w:rFonts w:ascii="Times New Roman" w:hAnsi="Times New Roman" w:cs="Times New Roman"/>
          <w:sz w:val="24"/>
          <w:szCs w:val="24"/>
        </w:rPr>
        <w:t>32 (6):</w:t>
      </w:r>
      <w:r w:rsidRPr="00833EFF">
        <w:rPr>
          <w:rFonts w:ascii="Times New Roman" w:hAnsi="Times New Roman" w:cs="Times New Roman"/>
          <w:sz w:val="24"/>
          <w:szCs w:val="24"/>
        </w:rPr>
        <w:t>415-420</w:t>
      </w:r>
    </w:p>
    <w:p w:rsidR="00EE2901" w:rsidRDefault="00EE2901" w:rsidP="007543EB">
      <w:pPr>
        <w:pStyle w:val="Bibliographie"/>
        <w:numPr>
          <w:ilvl w:val="0"/>
          <w:numId w:val="2"/>
        </w:numPr>
        <w:spacing w:line="240" w:lineRule="auto"/>
        <w:jc w:val="both"/>
        <w:rPr>
          <w:rFonts w:ascii="Times New Roman" w:hAnsi="Times New Roman" w:cs="Times New Roman"/>
          <w:sz w:val="24"/>
          <w:szCs w:val="24"/>
          <w:lang w:val="en-US"/>
        </w:rPr>
      </w:pPr>
      <w:r w:rsidRPr="00833EFF">
        <w:rPr>
          <w:rFonts w:ascii="Times New Roman" w:hAnsi="Times New Roman" w:cs="Times New Roman"/>
          <w:sz w:val="24"/>
          <w:szCs w:val="24"/>
        </w:rPr>
        <w:t>Belleannée G, Trouette H, Mascarel A. EPU Bordeaux. Prise en charge pratique et diagnostique des prélèvements thyroïdiens cytoponctions, extemporanés, pièces opératoires. Bordeaux, septembre</w:t>
      </w:r>
      <w:r w:rsidRPr="00833EFF">
        <w:rPr>
          <w:rFonts w:ascii="Times New Roman" w:hAnsi="Times New Roman" w:cs="Times New Roman"/>
          <w:sz w:val="24"/>
          <w:szCs w:val="24"/>
          <w:lang w:val="en-US"/>
        </w:rPr>
        <w:t xml:space="preserve"> 2014. </w:t>
      </w:r>
    </w:p>
    <w:p w:rsidR="00B23BC7" w:rsidRPr="00EE2901" w:rsidRDefault="00B23BC7" w:rsidP="00EE2901">
      <w:pPr>
        <w:pStyle w:val="Bibliographie"/>
        <w:spacing w:line="240" w:lineRule="auto"/>
        <w:jc w:val="both"/>
        <w:rPr>
          <w:rFonts w:ascii="Times New Roman" w:hAnsi="Times New Roman" w:cs="Times New Roman"/>
          <w:sz w:val="24"/>
          <w:szCs w:val="24"/>
        </w:rPr>
      </w:pPr>
    </w:p>
    <w:p w:rsidR="00A502C4" w:rsidRPr="009E7A19" w:rsidRDefault="00484ECA" w:rsidP="00EE2901">
      <w:pPr>
        <w:pStyle w:val="Bibliographie"/>
        <w:tabs>
          <w:tab w:val="right" w:pos="9072"/>
        </w:tabs>
        <w:spacing w:line="240" w:lineRule="auto"/>
        <w:jc w:val="both"/>
        <w:rPr>
          <w:rFonts w:ascii="Times New Roman" w:hAnsi="Times New Roman" w:cs="Times New Roman"/>
          <w:sz w:val="24"/>
          <w:szCs w:val="24"/>
        </w:rPr>
      </w:pPr>
      <w:r>
        <w:rPr>
          <w:rFonts w:ascii="Times New Roman" w:hAnsi="Times New Roman" w:cs="Times New Roman"/>
          <w:sz w:val="24"/>
          <w:szCs w:val="24"/>
        </w:rPr>
        <w:fldChar w:fldCharType="end"/>
      </w:r>
      <w:r w:rsidR="00EE2901">
        <w:rPr>
          <w:rFonts w:ascii="Times New Roman" w:hAnsi="Times New Roman" w:cs="Times New Roman"/>
          <w:sz w:val="24"/>
          <w:szCs w:val="24"/>
        </w:rPr>
        <w:tab/>
      </w:r>
    </w:p>
    <w:p w:rsidR="00A502C4" w:rsidRDefault="00A502C4" w:rsidP="007108E8">
      <w:pPr>
        <w:pStyle w:val="Paragraphedeliste"/>
        <w:spacing w:line="240" w:lineRule="auto"/>
        <w:jc w:val="both"/>
        <w:rPr>
          <w:rFonts w:ascii="Times New Roman" w:hAnsi="Times New Roman" w:cs="Times New Roman"/>
          <w:sz w:val="24"/>
        </w:rPr>
      </w:pPr>
    </w:p>
    <w:p w:rsidR="00A502C4" w:rsidRDefault="00A502C4" w:rsidP="007108E8">
      <w:pPr>
        <w:pStyle w:val="Paragraphedeliste"/>
        <w:spacing w:line="240" w:lineRule="auto"/>
        <w:jc w:val="both"/>
        <w:rPr>
          <w:rFonts w:ascii="Times New Roman" w:hAnsi="Times New Roman" w:cs="Times New Roman"/>
          <w:sz w:val="24"/>
        </w:rPr>
      </w:pPr>
    </w:p>
    <w:p w:rsidR="00A502C4" w:rsidRDefault="00A502C4" w:rsidP="007108E8">
      <w:pPr>
        <w:pStyle w:val="Paragraphedeliste"/>
        <w:spacing w:line="240" w:lineRule="auto"/>
        <w:jc w:val="both"/>
        <w:rPr>
          <w:rFonts w:ascii="Times New Roman" w:hAnsi="Times New Roman" w:cs="Times New Roman"/>
          <w:sz w:val="24"/>
        </w:rPr>
      </w:pPr>
    </w:p>
    <w:p w:rsidR="00A502C4" w:rsidRDefault="00A502C4" w:rsidP="007108E8">
      <w:pPr>
        <w:pStyle w:val="Paragraphedeliste"/>
        <w:spacing w:line="240" w:lineRule="auto"/>
        <w:jc w:val="both"/>
        <w:rPr>
          <w:rFonts w:ascii="Times New Roman" w:hAnsi="Times New Roman" w:cs="Times New Roman"/>
          <w:sz w:val="24"/>
        </w:rPr>
      </w:pPr>
    </w:p>
    <w:p w:rsidR="00A502C4" w:rsidRDefault="00A502C4" w:rsidP="007108E8">
      <w:pPr>
        <w:pStyle w:val="Paragraphedeliste"/>
        <w:spacing w:line="240" w:lineRule="auto"/>
        <w:jc w:val="both"/>
        <w:rPr>
          <w:rFonts w:ascii="Times New Roman" w:hAnsi="Times New Roman" w:cs="Times New Roman"/>
          <w:sz w:val="24"/>
        </w:rPr>
      </w:pPr>
    </w:p>
    <w:p w:rsidR="00A502C4" w:rsidRDefault="00A502C4" w:rsidP="007108E8">
      <w:pPr>
        <w:pStyle w:val="Paragraphedeliste"/>
        <w:spacing w:line="240" w:lineRule="auto"/>
        <w:jc w:val="both"/>
        <w:rPr>
          <w:rFonts w:ascii="Times New Roman" w:hAnsi="Times New Roman" w:cs="Times New Roman"/>
          <w:sz w:val="24"/>
        </w:rPr>
      </w:pPr>
    </w:p>
    <w:p w:rsidR="00A502C4" w:rsidRDefault="00A502C4" w:rsidP="007108E8">
      <w:pPr>
        <w:pStyle w:val="Paragraphedeliste"/>
        <w:spacing w:line="240" w:lineRule="auto"/>
        <w:jc w:val="both"/>
        <w:rPr>
          <w:rFonts w:ascii="Times New Roman" w:hAnsi="Times New Roman" w:cs="Times New Roman"/>
          <w:sz w:val="24"/>
        </w:rPr>
      </w:pPr>
    </w:p>
    <w:p w:rsidR="00A502C4" w:rsidRDefault="00A502C4" w:rsidP="007108E8">
      <w:pPr>
        <w:pStyle w:val="Paragraphedeliste"/>
        <w:spacing w:line="240" w:lineRule="auto"/>
        <w:jc w:val="both"/>
        <w:rPr>
          <w:rFonts w:ascii="Times New Roman" w:hAnsi="Times New Roman" w:cs="Times New Roman"/>
          <w:sz w:val="24"/>
        </w:rPr>
      </w:pPr>
    </w:p>
    <w:p w:rsidR="00F72620" w:rsidRPr="009E7A19" w:rsidRDefault="00F72620" w:rsidP="009E7A19">
      <w:pPr>
        <w:spacing w:line="240" w:lineRule="auto"/>
        <w:jc w:val="both"/>
        <w:rPr>
          <w:rFonts w:ascii="Times New Roman" w:hAnsi="Times New Roman" w:cs="Times New Roman"/>
          <w:sz w:val="24"/>
        </w:rPr>
      </w:pPr>
    </w:p>
    <w:sectPr w:rsidR="00F72620" w:rsidRPr="009E7A19" w:rsidSect="003F2BF8">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0BC6" w:rsidRDefault="00D00BC6" w:rsidP="00444DB7">
      <w:pPr>
        <w:spacing w:after="0" w:line="240" w:lineRule="auto"/>
      </w:pPr>
      <w:r>
        <w:separator/>
      </w:r>
    </w:p>
  </w:endnote>
  <w:endnote w:type="continuationSeparator" w:id="0">
    <w:p w:rsidR="00D00BC6" w:rsidRDefault="00D00BC6" w:rsidP="00444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BF4" w:rsidRDefault="009E7BF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99F" w:rsidRDefault="00191114">
    <w:pPr>
      <w:pStyle w:val="Pieddepage"/>
      <w:jc w:val="right"/>
    </w:pPr>
    <w:r>
      <w:t>Ranaivoson H.V.R</w:t>
    </w:r>
    <w:r w:rsidR="00A32BF7">
      <w:t xml:space="preserve"> et al </w:t>
    </w:r>
    <w:r w:rsidR="00A32BF7">
      <w:tab/>
    </w:r>
    <w:r w:rsidR="00A32BF7">
      <w:tab/>
    </w:r>
    <w:sdt>
      <w:sdtPr>
        <w:id w:val="-1070186654"/>
        <w:docPartObj>
          <w:docPartGallery w:val="Page Numbers (Bottom of Page)"/>
          <w:docPartUnique/>
        </w:docPartObj>
      </w:sdtPr>
      <w:sdtEndPr/>
      <w:sdtContent>
        <w:r w:rsidR="00484ECA">
          <w:fldChar w:fldCharType="begin"/>
        </w:r>
        <w:r w:rsidR="00AD099F">
          <w:instrText>PAGE   \* MERGEFORMAT</w:instrText>
        </w:r>
        <w:r w:rsidR="00484ECA">
          <w:fldChar w:fldCharType="separate"/>
        </w:r>
        <w:r w:rsidR="00410B10">
          <w:rPr>
            <w:noProof/>
          </w:rPr>
          <w:t>450</w:t>
        </w:r>
        <w:r w:rsidR="00484ECA">
          <w:fldChar w:fldCharType="end"/>
        </w:r>
      </w:sdtContent>
    </w:sdt>
  </w:p>
  <w:p w:rsidR="006F1D3F" w:rsidRDefault="006F1D3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BF4" w:rsidRDefault="009E7BF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0BC6" w:rsidRDefault="00D00BC6" w:rsidP="00444DB7">
      <w:pPr>
        <w:spacing w:after="0" w:line="240" w:lineRule="auto"/>
      </w:pPr>
      <w:r>
        <w:separator/>
      </w:r>
    </w:p>
  </w:footnote>
  <w:footnote w:type="continuationSeparator" w:id="0">
    <w:p w:rsidR="00D00BC6" w:rsidRDefault="00D00BC6" w:rsidP="00444D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BF4" w:rsidRDefault="009E7BF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BF7" w:rsidRDefault="00A32BF7">
    <w:pPr>
      <w:pStyle w:val="En-tte"/>
    </w:pPr>
    <w:r w:rsidRPr="00A32BF7">
      <w:rPr>
        <w:i/>
      </w:rPr>
      <w:ptab w:relativeTo="margin" w:alignment="center" w:leader="none"/>
    </w:r>
    <w:r w:rsidRPr="00A32BF7">
      <w:rPr>
        <w:i/>
      </w:rPr>
      <w:t>Head and Neck Journal of Madagascar</w:t>
    </w:r>
    <w:r>
      <w:t>.</w:t>
    </w:r>
    <w:r w:rsidR="009E7BF4">
      <w:t xml:space="preserve"> 2024 ; 5: 533-6</w:t>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BF4" w:rsidRDefault="009E7BF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C0114F"/>
    <w:multiLevelType w:val="hybridMultilevel"/>
    <w:tmpl w:val="5528486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2535289"/>
    <w:multiLevelType w:val="hybridMultilevel"/>
    <w:tmpl w:val="20AE2DA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E3EAF"/>
    <w:rsid w:val="00062885"/>
    <w:rsid w:val="000B23D8"/>
    <w:rsid w:val="000C1399"/>
    <w:rsid w:val="000E3EAF"/>
    <w:rsid w:val="00163068"/>
    <w:rsid w:val="00191114"/>
    <w:rsid w:val="001A70EE"/>
    <w:rsid w:val="001F5073"/>
    <w:rsid w:val="00223971"/>
    <w:rsid w:val="002259A0"/>
    <w:rsid w:val="0028270B"/>
    <w:rsid w:val="00287BB1"/>
    <w:rsid w:val="00316FD4"/>
    <w:rsid w:val="00384A8C"/>
    <w:rsid w:val="00391B23"/>
    <w:rsid w:val="003B28D3"/>
    <w:rsid w:val="003D1427"/>
    <w:rsid w:val="003D6F81"/>
    <w:rsid w:val="003F2BF8"/>
    <w:rsid w:val="00410B10"/>
    <w:rsid w:val="00434AD1"/>
    <w:rsid w:val="00444DB7"/>
    <w:rsid w:val="00484ECA"/>
    <w:rsid w:val="005176DE"/>
    <w:rsid w:val="00525449"/>
    <w:rsid w:val="00540B67"/>
    <w:rsid w:val="005568C6"/>
    <w:rsid w:val="005A64AE"/>
    <w:rsid w:val="005B5F0D"/>
    <w:rsid w:val="0062671A"/>
    <w:rsid w:val="00642053"/>
    <w:rsid w:val="00642331"/>
    <w:rsid w:val="0064495E"/>
    <w:rsid w:val="006540F2"/>
    <w:rsid w:val="006769B5"/>
    <w:rsid w:val="00685DE2"/>
    <w:rsid w:val="006A563F"/>
    <w:rsid w:val="006C73A9"/>
    <w:rsid w:val="006E7AAA"/>
    <w:rsid w:val="006F1D3F"/>
    <w:rsid w:val="007029AE"/>
    <w:rsid w:val="007108E8"/>
    <w:rsid w:val="007543EB"/>
    <w:rsid w:val="007918E2"/>
    <w:rsid w:val="007B2A28"/>
    <w:rsid w:val="0080583D"/>
    <w:rsid w:val="00815185"/>
    <w:rsid w:val="00835A7C"/>
    <w:rsid w:val="008D2520"/>
    <w:rsid w:val="00902E15"/>
    <w:rsid w:val="00940345"/>
    <w:rsid w:val="00966746"/>
    <w:rsid w:val="009A4FE2"/>
    <w:rsid w:val="009B47B0"/>
    <w:rsid w:val="009D037A"/>
    <w:rsid w:val="009E6301"/>
    <w:rsid w:val="009E7A19"/>
    <w:rsid w:val="009E7BF4"/>
    <w:rsid w:val="00A03F59"/>
    <w:rsid w:val="00A24E93"/>
    <w:rsid w:val="00A32BF7"/>
    <w:rsid w:val="00A446FD"/>
    <w:rsid w:val="00A502C4"/>
    <w:rsid w:val="00A6284B"/>
    <w:rsid w:val="00A65F1F"/>
    <w:rsid w:val="00AA4212"/>
    <w:rsid w:val="00AA67E1"/>
    <w:rsid w:val="00AB2C44"/>
    <w:rsid w:val="00AC6FA6"/>
    <w:rsid w:val="00AD099F"/>
    <w:rsid w:val="00B07A8E"/>
    <w:rsid w:val="00B163C8"/>
    <w:rsid w:val="00B23BC7"/>
    <w:rsid w:val="00C037C9"/>
    <w:rsid w:val="00C316A0"/>
    <w:rsid w:val="00C46398"/>
    <w:rsid w:val="00D00BC6"/>
    <w:rsid w:val="00D55C91"/>
    <w:rsid w:val="00D57110"/>
    <w:rsid w:val="00D57555"/>
    <w:rsid w:val="00DD3C3A"/>
    <w:rsid w:val="00DE5DBE"/>
    <w:rsid w:val="00DF4A01"/>
    <w:rsid w:val="00E12C42"/>
    <w:rsid w:val="00E30515"/>
    <w:rsid w:val="00E36B35"/>
    <w:rsid w:val="00E460C6"/>
    <w:rsid w:val="00EB2692"/>
    <w:rsid w:val="00EE12B0"/>
    <w:rsid w:val="00EE2901"/>
    <w:rsid w:val="00EF5845"/>
    <w:rsid w:val="00F51224"/>
    <w:rsid w:val="00F5736C"/>
    <w:rsid w:val="00F72620"/>
    <w:rsid w:val="00F9793A"/>
    <w:rsid w:val="00FA7286"/>
    <w:rsid w:val="00FC0955"/>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rules v:ext="edit">
        <o:r id="V:Rule1" type="connector" idref="#_x0000_s1035"/>
        <o:r id="V:Rule2" type="connector" idref="#_x0000_s1039"/>
        <o:r id="V:Rule3" type="connector" idref="#_x0000_s1040"/>
        <o:r id="V:Rule4" type="connector" idref="#_x0000_s1041"/>
        <o:r id="V:Rule5" type="connector" idref="#_x0000_s1037"/>
      </o:rules>
    </o:shapelayout>
  </w:shapeDefaults>
  <w:decimalSymbol w:val=","/>
  <w:listSeparator w:val=";"/>
  <w14:docId w14:val="06FF78F9"/>
  <w15:docId w15:val="{E0CC692A-5BC2-4396-B62A-996861330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84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460C6"/>
    <w:rPr>
      <w:color w:val="0000FF" w:themeColor="hyperlink"/>
      <w:u w:val="single"/>
    </w:rPr>
  </w:style>
  <w:style w:type="paragraph" w:styleId="En-tte">
    <w:name w:val="header"/>
    <w:basedOn w:val="Normal"/>
    <w:link w:val="En-tteCar"/>
    <w:uiPriority w:val="99"/>
    <w:unhideWhenUsed/>
    <w:rsid w:val="00444DB7"/>
    <w:pPr>
      <w:tabs>
        <w:tab w:val="center" w:pos="4536"/>
        <w:tab w:val="right" w:pos="9072"/>
      </w:tabs>
      <w:spacing w:after="0" w:line="240" w:lineRule="auto"/>
    </w:pPr>
  </w:style>
  <w:style w:type="character" w:customStyle="1" w:styleId="En-tteCar">
    <w:name w:val="En-tête Car"/>
    <w:basedOn w:val="Policepardfaut"/>
    <w:link w:val="En-tte"/>
    <w:uiPriority w:val="99"/>
    <w:rsid w:val="00444DB7"/>
  </w:style>
  <w:style w:type="paragraph" w:styleId="Pieddepage">
    <w:name w:val="footer"/>
    <w:basedOn w:val="Normal"/>
    <w:link w:val="PieddepageCar"/>
    <w:uiPriority w:val="99"/>
    <w:unhideWhenUsed/>
    <w:rsid w:val="00444DB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44DB7"/>
  </w:style>
  <w:style w:type="paragraph" w:styleId="Paragraphedeliste">
    <w:name w:val="List Paragraph"/>
    <w:basedOn w:val="Normal"/>
    <w:uiPriority w:val="34"/>
    <w:qFormat/>
    <w:rsid w:val="00902E15"/>
    <w:pPr>
      <w:ind w:left="720"/>
      <w:contextualSpacing/>
    </w:pPr>
  </w:style>
  <w:style w:type="paragraph" w:styleId="Textedebulles">
    <w:name w:val="Balloon Text"/>
    <w:basedOn w:val="Normal"/>
    <w:link w:val="TextedebullesCar"/>
    <w:uiPriority w:val="99"/>
    <w:semiHidden/>
    <w:unhideWhenUsed/>
    <w:rsid w:val="00F7262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72620"/>
    <w:rPr>
      <w:rFonts w:ascii="Tahoma" w:hAnsi="Tahoma" w:cs="Tahoma"/>
      <w:sz w:val="16"/>
      <w:szCs w:val="16"/>
    </w:rPr>
  </w:style>
  <w:style w:type="paragraph" w:styleId="Bibliographie">
    <w:name w:val="Bibliography"/>
    <w:basedOn w:val="Normal"/>
    <w:next w:val="Normal"/>
    <w:uiPriority w:val="37"/>
    <w:unhideWhenUsed/>
    <w:rsid w:val="007108E8"/>
    <w:pPr>
      <w:spacing w:after="160" w:line="256" w:lineRule="auto"/>
    </w:pPr>
  </w:style>
  <w:style w:type="paragraph" w:styleId="NormalWeb">
    <w:name w:val="Normal (Web)"/>
    <w:basedOn w:val="Normal"/>
    <w:uiPriority w:val="99"/>
    <w:unhideWhenUsed/>
    <w:rsid w:val="00B23BC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6835686">
      <w:bodyDiv w:val="1"/>
      <w:marLeft w:val="0"/>
      <w:marRight w:val="0"/>
      <w:marTop w:val="0"/>
      <w:marBottom w:val="0"/>
      <w:divBdr>
        <w:top w:val="none" w:sz="0" w:space="0" w:color="auto"/>
        <w:left w:val="none" w:sz="0" w:space="0" w:color="auto"/>
        <w:bottom w:val="none" w:sz="0" w:space="0" w:color="auto"/>
        <w:right w:val="none" w:sz="0" w:space="0" w:color="auto"/>
      </w:divBdr>
    </w:div>
    <w:div w:id="161251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4</Pages>
  <Words>1815</Words>
  <Characters>9983</Characters>
  <Application>Microsoft Office Word</Application>
  <DocSecurity>0</DocSecurity>
  <Lines>83</Lines>
  <Paragraphs>23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MOUANGUE</dc:creator>
  <cp:keywords/>
  <dc:description/>
  <cp:lastModifiedBy>RANTOU</cp:lastModifiedBy>
  <cp:revision>21</cp:revision>
  <dcterms:created xsi:type="dcterms:W3CDTF">2025-04-02T09:37:00Z</dcterms:created>
  <dcterms:modified xsi:type="dcterms:W3CDTF">2026-01-31T09:07:00Z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929543706</vt:i4>
  </property>
</Properties>
</file>